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355EA" w14:textId="77777777" w:rsidR="00700843" w:rsidRPr="00F961B1" w:rsidRDefault="00700843" w:rsidP="00AE5180">
      <w:pPr>
        <w:pStyle w:val="Default"/>
        <w:spacing w:line="276" w:lineRule="auto"/>
        <w:jc w:val="center"/>
      </w:pPr>
    </w:p>
    <w:p w14:paraId="3275EC04" w14:textId="4EF82488" w:rsidR="00700843" w:rsidRDefault="00700843" w:rsidP="00AE5180">
      <w:pPr>
        <w:spacing w:line="276" w:lineRule="auto"/>
        <w:jc w:val="both"/>
        <w:rPr>
          <w:rFonts w:ascii="Calibri" w:eastAsia="Calibri" w:hAnsi="Calibri"/>
          <w:sz w:val="22"/>
          <w:szCs w:val="22"/>
          <w:lang w:val="en-US" w:eastAsia="en-US"/>
        </w:rPr>
      </w:pPr>
      <w:r>
        <w:rPr>
          <w:rFonts w:ascii="Calibri" w:eastAsia="Calibri" w:hAnsi="Calibri"/>
          <w:sz w:val="22"/>
          <w:szCs w:val="22"/>
          <w:lang w:val="en-US" w:eastAsia="en-US"/>
        </w:rPr>
        <w:t xml:space="preserve">                    </w:t>
      </w:r>
    </w:p>
    <w:p w14:paraId="2C06D4E2" w14:textId="05B0CFE6" w:rsidR="001613CF" w:rsidRDefault="001613CF" w:rsidP="001613CF">
      <w:pPr>
        <w:pStyle w:val="Default"/>
        <w:spacing w:line="276" w:lineRule="auto"/>
        <w:jc w:val="center"/>
      </w:pPr>
      <w:r w:rsidRPr="00F961B1">
        <w:t xml:space="preserve">  MARINE SPATIAL PLANNING: RECONCILING CONFLICTING INTERSTS IN SOUTH AFRICAN WATERS VIA DUE DILIGENCE</w:t>
      </w:r>
    </w:p>
    <w:p w14:paraId="6B246585" w14:textId="6E579DA5" w:rsidR="007F7DA5" w:rsidRDefault="007F7DA5" w:rsidP="001613CF">
      <w:pPr>
        <w:pStyle w:val="Default"/>
        <w:spacing w:line="276" w:lineRule="auto"/>
        <w:jc w:val="center"/>
      </w:pPr>
    </w:p>
    <w:p w14:paraId="01C665DA" w14:textId="77777777" w:rsidR="007F7DA5" w:rsidRPr="007F7DA5" w:rsidRDefault="007F7DA5" w:rsidP="007F7DA5">
      <w:pPr>
        <w:spacing w:line="276" w:lineRule="auto"/>
        <w:jc w:val="both"/>
        <w:rPr>
          <w:rFonts w:ascii="Calibri" w:eastAsia="Calibri" w:hAnsi="Calibri"/>
          <w:i/>
          <w:iCs/>
          <w:sz w:val="22"/>
          <w:szCs w:val="22"/>
          <w:lang w:val="en-US" w:eastAsia="en-US"/>
        </w:rPr>
      </w:pPr>
      <w:r>
        <w:rPr>
          <w:rFonts w:ascii="Calibri" w:eastAsia="Calibri" w:hAnsi="Calibri"/>
          <w:sz w:val="22"/>
          <w:szCs w:val="22"/>
          <w:lang w:val="en-US" w:eastAsia="en-US"/>
        </w:rPr>
        <w:t xml:space="preserve">                                          </w:t>
      </w:r>
      <w:proofErr w:type="spellStart"/>
      <w:r w:rsidRPr="007F7DA5">
        <w:rPr>
          <w:rFonts w:ascii="Calibri" w:eastAsia="Calibri" w:hAnsi="Calibri"/>
          <w:i/>
          <w:iCs/>
          <w:sz w:val="22"/>
          <w:szCs w:val="22"/>
          <w:lang w:val="en-US" w:eastAsia="en-US"/>
        </w:rPr>
        <w:t>Tajudeen</w:t>
      </w:r>
      <w:proofErr w:type="spellEnd"/>
      <w:r w:rsidRPr="007F7DA5">
        <w:rPr>
          <w:rFonts w:ascii="Calibri" w:eastAsia="Calibri" w:hAnsi="Calibri"/>
          <w:i/>
          <w:iCs/>
          <w:sz w:val="22"/>
          <w:szCs w:val="22"/>
          <w:lang w:val="en-US" w:eastAsia="en-US"/>
        </w:rPr>
        <w:t xml:space="preserve"> </w:t>
      </w:r>
      <w:proofErr w:type="spellStart"/>
      <w:r w:rsidRPr="007F7DA5">
        <w:rPr>
          <w:rFonts w:ascii="Calibri" w:eastAsia="Calibri" w:hAnsi="Calibri"/>
          <w:i/>
          <w:iCs/>
          <w:sz w:val="22"/>
          <w:szCs w:val="22"/>
          <w:lang w:val="en-US" w:eastAsia="en-US"/>
        </w:rPr>
        <w:t>Sanni</w:t>
      </w:r>
      <w:proofErr w:type="spellEnd"/>
      <w:r w:rsidRPr="007F7DA5">
        <w:rPr>
          <w:rFonts w:ascii="Calibri" w:eastAsia="Calibri" w:hAnsi="Calibri"/>
          <w:i/>
          <w:iCs/>
          <w:sz w:val="22"/>
          <w:szCs w:val="22"/>
          <w:lang w:val="en-US" w:eastAsia="en-US"/>
        </w:rPr>
        <w:t>* (LLD)</w:t>
      </w:r>
      <w:r w:rsidRPr="007F7DA5">
        <w:rPr>
          <w:rFonts w:ascii="Calibri" w:eastAsia="Calibri" w:hAnsi="Calibri"/>
          <w:i/>
          <w:iCs/>
          <w:sz w:val="22"/>
          <w:szCs w:val="22"/>
          <w:vertAlign w:val="superscript"/>
          <w:lang w:val="en-US" w:eastAsia="en-US"/>
        </w:rPr>
        <w:footnoteReference w:id="1"/>
      </w:r>
      <w:r w:rsidRPr="007F7DA5">
        <w:rPr>
          <w:rFonts w:ascii="Calibri" w:eastAsia="Calibri" w:hAnsi="Calibri"/>
          <w:i/>
          <w:iCs/>
          <w:sz w:val="22"/>
          <w:szCs w:val="22"/>
          <w:lang w:val="en-US" w:eastAsia="en-US"/>
        </w:rPr>
        <w:t xml:space="preserve"> and </w:t>
      </w:r>
      <w:proofErr w:type="spellStart"/>
      <w:r w:rsidRPr="007F7DA5">
        <w:rPr>
          <w:rFonts w:ascii="Calibri" w:eastAsia="Calibri" w:hAnsi="Calibri"/>
          <w:i/>
          <w:iCs/>
          <w:sz w:val="22"/>
          <w:szCs w:val="22"/>
          <w:lang w:val="en-US" w:eastAsia="en-US"/>
        </w:rPr>
        <w:t>Dennig</w:t>
      </w:r>
      <w:proofErr w:type="spellEnd"/>
      <w:r w:rsidRPr="007F7DA5">
        <w:rPr>
          <w:rFonts w:ascii="Calibri" w:eastAsia="Calibri" w:hAnsi="Calibri"/>
          <w:i/>
          <w:iCs/>
          <w:sz w:val="22"/>
          <w:szCs w:val="22"/>
          <w:lang w:val="en-US" w:eastAsia="en-US"/>
        </w:rPr>
        <w:t xml:space="preserve"> N </w:t>
      </w:r>
      <w:proofErr w:type="spellStart"/>
      <w:r w:rsidRPr="007F7DA5">
        <w:rPr>
          <w:rFonts w:ascii="Calibri" w:eastAsia="Calibri" w:hAnsi="Calibri"/>
          <w:i/>
          <w:iCs/>
          <w:sz w:val="22"/>
          <w:szCs w:val="22"/>
          <w:lang w:val="en-US" w:eastAsia="en-US"/>
        </w:rPr>
        <w:t>Metuge</w:t>
      </w:r>
      <w:proofErr w:type="spellEnd"/>
      <w:r w:rsidRPr="007F7DA5">
        <w:rPr>
          <w:rFonts w:ascii="Calibri" w:eastAsia="Calibri" w:hAnsi="Calibri"/>
          <w:i/>
          <w:iCs/>
          <w:sz w:val="22"/>
          <w:szCs w:val="22"/>
          <w:lang w:val="en-US" w:eastAsia="en-US"/>
        </w:rPr>
        <w:t>** (LLD)</w:t>
      </w:r>
      <w:r w:rsidRPr="007F7DA5">
        <w:rPr>
          <w:rFonts w:ascii="Calibri" w:eastAsia="Calibri" w:hAnsi="Calibri"/>
          <w:i/>
          <w:iCs/>
          <w:sz w:val="22"/>
          <w:szCs w:val="22"/>
          <w:vertAlign w:val="superscript"/>
          <w:lang w:val="en-US" w:eastAsia="en-US"/>
        </w:rPr>
        <w:footnoteReference w:id="2"/>
      </w:r>
    </w:p>
    <w:p w14:paraId="3247A65F" w14:textId="77777777" w:rsidR="007F7DA5" w:rsidRDefault="007F7DA5" w:rsidP="001613CF">
      <w:pPr>
        <w:pStyle w:val="Default"/>
        <w:spacing w:line="276" w:lineRule="auto"/>
        <w:jc w:val="center"/>
      </w:pPr>
    </w:p>
    <w:p w14:paraId="3D060BFE" w14:textId="235C62DB" w:rsidR="001613CF" w:rsidRPr="001613CF" w:rsidRDefault="001613CF" w:rsidP="00AE5180">
      <w:pPr>
        <w:spacing w:line="276" w:lineRule="auto"/>
        <w:jc w:val="both"/>
        <w:rPr>
          <w:rFonts w:ascii="Calibri" w:eastAsia="Calibri" w:hAnsi="Calibri"/>
          <w:b/>
          <w:bCs/>
          <w:sz w:val="22"/>
          <w:szCs w:val="22"/>
          <w:lang w:val="en-US" w:eastAsia="en-US"/>
        </w:rPr>
      </w:pPr>
      <w:r w:rsidRPr="001613CF">
        <w:rPr>
          <w:rFonts w:ascii="Calibri" w:eastAsia="Calibri" w:hAnsi="Calibri"/>
          <w:b/>
          <w:bCs/>
          <w:sz w:val="22"/>
          <w:szCs w:val="22"/>
          <w:lang w:val="en-US" w:eastAsia="en-US"/>
        </w:rPr>
        <w:t>Abstract</w:t>
      </w:r>
    </w:p>
    <w:p w14:paraId="200D1F49" w14:textId="77777777" w:rsidR="00700843" w:rsidRPr="00F961B1" w:rsidRDefault="00700843" w:rsidP="00AE5180">
      <w:pPr>
        <w:spacing w:line="276" w:lineRule="auto"/>
        <w:jc w:val="both"/>
      </w:pPr>
    </w:p>
    <w:p w14:paraId="6A448CF5" w14:textId="3DF49A5C" w:rsidR="00AE5180" w:rsidRDefault="00AE5180" w:rsidP="00366333">
      <w:pPr>
        <w:tabs>
          <w:tab w:val="left" w:pos="1770"/>
        </w:tabs>
        <w:spacing w:line="276" w:lineRule="auto"/>
        <w:jc w:val="both"/>
      </w:pPr>
      <w:r w:rsidRPr="00F961B1">
        <w:t xml:space="preserve">The preamble to the 1982 United Nations Convention on the Law of the Sea </w:t>
      </w:r>
      <w:r w:rsidRPr="00CE02F2">
        <w:t xml:space="preserve">(UNCLOS) </w:t>
      </w:r>
      <w:r w:rsidRPr="00F961B1">
        <w:t xml:space="preserve">highlights the fact that </w:t>
      </w:r>
      <w:r w:rsidRPr="00F961B1">
        <w:rPr>
          <w:rStyle w:val="e24kjd"/>
          <w:rFonts w:eastAsiaTheme="majorEastAsia"/>
        </w:rPr>
        <w:t>“the problems of ocean space are closely interrelated and need to be considered as a whole”. Marine Spatial Planning (MSP) has emerged as a tool to manage the various uses of the ocean the emerging problems thereof, holistically. In terms of the UNESCO-Intergovernmental Oceanography Commission(IOC),</w:t>
      </w:r>
      <w:r w:rsidRPr="00F961B1">
        <w:t xml:space="preserve"> MSP refers to the process of </w:t>
      </w:r>
      <w:r w:rsidRPr="00F961B1">
        <w:rPr>
          <w:color w:val="000000"/>
        </w:rPr>
        <w:t>allocating the spatial and temporal distribution of human activities in marine areas to achieve ecological, economic, and social objectives that typically have been specified through a political process.</w:t>
      </w:r>
      <w:r w:rsidRPr="00F961B1">
        <w:rPr>
          <w:rStyle w:val="e24kjd"/>
          <w:rFonts w:eastAsiaTheme="majorEastAsia"/>
        </w:rPr>
        <w:t xml:space="preserve"> Marine governance was essentially single sector based, undermining the capacity to identify and manage </w:t>
      </w:r>
      <w:r w:rsidRPr="00F961B1">
        <w:rPr>
          <w:rStyle w:val="e24kjd"/>
          <w:rFonts w:eastAsiaTheme="majorEastAsia"/>
          <w:bCs/>
        </w:rPr>
        <w:t>conflicts</w:t>
      </w:r>
      <w:r w:rsidRPr="00F961B1">
        <w:rPr>
          <w:rStyle w:val="e24kjd"/>
          <w:rFonts w:eastAsiaTheme="majorEastAsia"/>
        </w:rPr>
        <w:t xml:space="preserve"> between sectors.</w:t>
      </w:r>
      <w:r w:rsidRPr="00F961B1">
        <w:rPr>
          <w:rStyle w:val="e24kjd"/>
          <w:rFonts w:eastAsiaTheme="majorEastAsia"/>
          <w:b/>
          <w:bCs/>
        </w:rPr>
        <w:t xml:space="preserve"> </w:t>
      </w:r>
      <w:r w:rsidRPr="00F961B1">
        <w:rPr>
          <w:rStyle w:val="e24kjd"/>
          <w:rFonts w:eastAsiaTheme="majorEastAsia"/>
          <w:bCs/>
        </w:rPr>
        <w:t xml:space="preserve">MSP not only </w:t>
      </w:r>
      <w:r w:rsidRPr="00F961B1">
        <w:rPr>
          <w:rStyle w:val="e24kjd"/>
          <w:rFonts w:eastAsiaTheme="majorEastAsia"/>
        </w:rPr>
        <w:t xml:space="preserve">provides a </w:t>
      </w:r>
      <w:r w:rsidRPr="00F961B1">
        <w:rPr>
          <w:rStyle w:val="e24kjd"/>
          <w:rFonts w:eastAsiaTheme="majorEastAsia"/>
          <w:bCs/>
        </w:rPr>
        <w:t>means</w:t>
      </w:r>
      <w:r w:rsidRPr="00F961B1">
        <w:rPr>
          <w:rStyle w:val="e24kjd"/>
          <w:rFonts w:eastAsiaTheme="majorEastAsia"/>
        </w:rPr>
        <w:t xml:space="preserve"> to identify potential </w:t>
      </w:r>
      <w:r w:rsidRPr="00F961B1">
        <w:rPr>
          <w:rStyle w:val="e24kjd"/>
          <w:rFonts w:eastAsiaTheme="majorEastAsia"/>
          <w:bCs/>
        </w:rPr>
        <w:t>conflicts</w:t>
      </w:r>
      <w:r w:rsidRPr="00F961B1">
        <w:rPr>
          <w:rStyle w:val="e24kjd"/>
          <w:rFonts w:eastAsiaTheme="majorEastAsia"/>
        </w:rPr>
        <w:t xml:space="preserve"> based on geo-spatial, but also provides a comprehensive governance framework for the various sectors and relevant stakeholders.</w:t>
      </w:r>
      <w:r w:rsidR="00366333">
        <w:rPr>
          <w:rStyle w:val="e24kjd"/>
          <w:rFonts w:eastAsiaTheme="majorEastAsia"/>
        </w:rPr>
        <w:t xml:space="preserve"> </w:t>
      </w:r>
      <w:r w:rsidRPr="00F961B1">
        <w:t xml:space="preserve">This paper examines the </w:t>
      </w:r>
      <w:r>
        <w:t>regulation</w:t>
      </w:r>
      <w:r w:rsidRPr="00F961B1">
        <w:t xml:space="preserve"> </w:t>
      </w:r>
      <w:r>
        <w:t>of</w:t>
      </w:r>
      <w:r w:rsidRPr="00F961B1">
        <w:t xml:space="preserve"> MSP at the global level, looking primarily at UNCLOS as well as the</w:t>
      </w:r>
      <w:r>
        <w:t xml:space="preserve"> </w:t>
      </w:r>
      <w:r w:rsidRPr="00F961B1">
        <w:rPr>
          <w:rStyle w:val="e24kjd"/>
          <w:rFonts w:eastAsiaTheme="majorEastAsia"/>
        </w:rPr>
        <w:t>UNESCO-IOC</w:t>
      </w:r>
      <w:r w:rsidRPr="00F961B1">
        <w:t xml:space="preserve"> </w:t>
      </w:r>
      <w:r>
        <w:t xml:space="preserve">guide, </w:t>
      </w:r>
      <w:r w:rsidRPr="00CE02F2">
        <w:rPr>
          <w:rStyle w:val="Strong"/>
          <w:bCs w:val="0"/>
          <w:color w:val="000000"/>
          <w:shd w:val="clear" w:color="auto" w:fill="FFFFFF"/>
        </w:rPr>
        <w:t>“</w:t>
      </w:r>
      <w:r w:rsidRPr="00CE02F2">
        <w:rPr>
          <w:rStyle w:val="Strong"/>
          <w:b w:val="0"/>
          <w:color w:val="000000"/>
          <w:shd w:val="clear" w:color="auto" w:fill="FFFFFF"/>
        </w:rPr>
        <w:t>Marine spatial planning: A step-by-step approach toward ecosystem-based management”</w:t>
      </w:r>
      <w:r>
        <w:rPr>
          <w:rStyle w:val="Strong"/>
          <w:b w:val="0"/>
          <w:bCs w:val="0"/>
          <w:color w:val="000000"/>
          <w:shd w:val="clear" w:color="auto" w:fill="FFFFFF"/>
        </w:rPr>
        <w:t>; at</w:t>
      </w:r>
      <w:r w:rsidRPr="00F961B1">
        <w:t xml:space="preserve"> the regional level,</w:t>
      </w:r>
      <w:r>
        <w:t xml:space="preserve"> it looks at the African Union 2050 </w:t>
      </w:r>
      <w:r w:rsidRPr="00F961B1">
        <w:t>Africa</w:t>
      </w:r>
      <w:r>
        <w:t>’s</w:t>
      </w:r>
      <w:r w:rsidRPr="00F961B1">
        <w:t xml:space="preserve"> Integrated Maritime Strategy </w:t>
      </w:r>
      <w:r>
        <w:t>(</w:t>
      </w:r>
      <w:r w:rsidRPr="00F961B1">
        <w:t>20</w:t>
      </w:r>
      <w:r>
        <w:t xml:space="preserve">50 AIM Strategy) and; at the domestic level, the focus is on South Africa’s Marine Spatial Act, 2018. The underlying theme throughout this paper is due diligence as an obligation to achieve the goals of MSP, especially with regard to the inextricable link between due diligence and the achievement of the goal of sustainability in the MSP process. </w:t>
      </w:r>
    </w:p>
    <w:p w14:paraId="62E09215" w14:textId="5E3AB0A0" w:rsidR="00AE5180" w:rsidRPr="00F961B1" w:rsidRDefault="00AE5180" w:rsidP="00AE5180">
      <w:pPr>
        <w:spacing w:line="276" w:lineRule="auto"/>
        <w:jc w:val="both"/>
      </w:pPr>
      <w:r>
        <w:t xml:space="preserve">Finally, in answering the question: </w:t>
      </w:r>
      <w:r w:rsidRPr="00F961B1">
        <w:t>how can the law contribute to the sustainable use of the ocean and strike a balance between competing interests at sea</w:t>
      </w:r>
      <w:r>
        <w:t xml:space="preserve">, this paper provides a succinct presentation of relevant policy developments leading to the publication of South Africa’s MSPA and a discussion on the relevant provisions of the MSPA, aimed at reconciling competing interests within the Republic’s territorial waters. </w:t>
      </w:r>
    </w:p>
    <w:p w14:paraId="5C510BDD" w14:textId="77777777" w:rsidR="00AE5180" w:rsidRPr="00F961B1" w:rsidRDefault="00AE5180" w:rsidP="00AE5180">
      <w:pPr>
        <w:spacing w:line="276" w:lineRule="auto"/>
      </w:pPr>
    </w:p>
    <w:p w14:paraId="2C410E21" w14:textId="343E3E18" w:rsidR="00AE5180" w:rsidRDefault="00AE5180" w:rsidP="00AE5180">
      <w:pPr>
        <w:tabs>
          <w:tab w:val="left" w:pos="1770"/>
        </w:tabs>
        <w:spacing w:line="276" w:lineRule="auto"/>
        <w:jc w:val="both"/>
      </w:pPr>
      <w:r w:rsidRPr="00F961B1">
        <w:t xml:space="preserve">Key words: Marine Spatial Planning, </w:t>
      </w:r>
      <w:r>
        <w:t xml:space="preserve">Due </w:t>
      </w:r>
      <w:r w:rsidR="00366333">
        <w:t>D</w:t>
      </w:r>
      <w:r>
        <w:t>iligenc</w:t>
      </w:r>
      <w:r w:rsidR="00366333">
        <w:t>e</w:t>
      </w:r>
      <w:r w:rsidRPr="00F961B1">
        <w:t>,</w:t>
      </w:r>
      <w:r>
        <w:t xml:space="preserve"> Su</w:t>
      </w:r>
      <w:r w:rsidR="00366333">
        <w:t>s</w:t>
      </w:r>
      <w:r>
        <w:t>tainability,</w:t>
      </w:r>
      <w:r w:rsidRPr="00F961B1">
        <w:t xml:space="preserve"> Marine Conflicts </w:t>
      </w:r>
    </w:p>
    <w:p w14:paraId="56C7D098" w14:textId="77777777" w:rsidR="00AE5180" w:rsidRDefault="00AE5180" w:rsidP="00AE5180">
      <w:pPr>
        <w:tabs>
          <w:tab w:val="left" w:pos="1770"/>
        </w:tabs>
        <w:spacing w:line="276" w:lineRule="auto"/>
        <w:jc w:val="both"/>
      </w:pPr>
    </w:p>
    <w:p w14:paraId="4A9A316F" w14:textId="77777777" w:rsidR="00AE5180" w:rsidRDefault="00AE5180" w:rsidP="00AE5180">
      <w:pPr>
        <w:tabs>
          <w:tab w:val="left" w:pos="1770"/>
        </w:tabs>
        <w:spacing w:line="276" w:lineRule="auto"/>
        <w:jc w:val="both"/>
      </w:pPr>
    </w:p>
    <w:p w14:paraId="5B3414B5" w14:textId="77777777" w:rsidR="007D1102" w:rsidRPr="00CE02F2" w:rsidRDefault="007D1102" w:rsidP="007D1102">
      <w:pPr>
        <w:tabs>
          <w:tab w:val="left" w:pos="1770"/>
        </w:tabs>
        <w:spacing w:line="276" w:lineRule="auto"/>
        <w:jc w:val="both"/>
        <w:rPr>
          <w:b/>
          <w:bCs/>
        </w:rPr>
      </w:pPr>
      <w:r w:rsidRPr="00CE02F2">
        <w:rPr>
          <w:b/>
          <w:bCs/>
        </w:rPr>
        <w:t>BIBLIOGRAPHY</w:t>
      </w:r>
    </w:p>
    <w:p w14:paraId="780B4109" w14:textId="77777777" w:rsidR="007D1102" w:rsidRDefault="007D1102" w:rsidP="007D1102">
      <w:pPr>
        <w:tabs>
          <w:tab w:val="left" w:pos="1770"/>
        </w:tabs>
        <w:spacing w:line="276" w:lineRule="auto"/>
        <w:jc w:val="both"/>
      </w:pPr>
    </w:p>
    <w:p w14:paraId="62CAFBF1" w14:textId="77777777" w:rsidR="007D1102" w:rsidRDefault="007D1102" w:rsidP="007D1102">
      <w:pPr>
        <w:tabs>
          <w:tab w:val="left" w:pos="1770"/>
        </w:tabs>
        <w:spacing w:line="360" w:lineRule="auto"/>
        <w:jc w:val="both"/>
        <w:rPr>
          <w:rFonts w:cs="Arial"/>
          <w:color w:val="000000" w:themeColor="text1"/>
        </w:rPr>
      </w:pPr>
      <w:r>
        <w:rPr>
          <w:rFonts w:cs="Arial"/>
          <w:color w:val="000000" w:themeColor="text1"/>
        </w:rPr>
        <w:t xml:space="preserve">1. 1982 </w:t>
      </w:r>
      <w:r w:rsidRPr="00EB7B03">
        <w:rPr>
          <w:rFonts w:cs="Arial"/>
          <w:color w:val="000000" w:themeColor="text1"/>
        </w:rPr>
        <w:t>United Nations Convention on the Law of the Sea</w:t>
      </w:r>
      <w:r>
        <w:rPr>
          <w:rFonts w:cs="Arial"/>
          <w:color w:val="000000" w:themeColor="text1"/>
        </w:rPr>
        <w:t xml:space="preserve"> (UNCLOS) </w:t>
      </w:r>
      <w:r w:rsidRPr="00AF52D4">
        <w:rPr>
          <w:rFonts w:cs="Arial"/>
          <w:color w:val="000000" w:themeColor="text1"/>
        </w:rPr>
        <w:t>1833 UNTS 3, (1982) 21 ILM 1261</w:t>
      </w:r>
    </w:p>
    <w:p w14:paraId="20302831" w14:textId="77777777" w:rsidR="007D1102" w:rsidRDefault="007D1102" w:rsidP="007D1102">
      <w:pPr>
        <w:tabs>
          <w:tab w:val="left" w:pos="1770"/>
        </w:tabs>
        <w:spacing w:line="360" w:lineRule="auto"/>
        <w:jc w:val="both"/>
        <w:rPr>
          <w:rFonts w:cs="Arial"/>
          <w:color w:val="000000" w:themeColor="text1"/>
        </w:rPr>
      </w:pPr>
      <w:r>
        <w:t xml:space="preserve">2. African Union 2050 </w:t>
      </w:r>
      <w:r w:rsidRPr="00F961B1">
        <w:t>Africa</w:t>
      </w:r>
      <w:r>
        <w:t>’s</w:t>
      </w:r>
      <w:r w:rsidRPr="00F961B1">
        <w:t xml:space="preserve"> Integrated Maritime Strategy</w:t>
      </w:r>
    </w:p>
    <w:p w14:paraId="728298E5" w14:textId="77777777" w:rsidR="007D1102" w:rsidRDefault="007D1102" w:rsidP="007D1102">
      <w:pPr>
        <w:tabs>
          <w:tab w:val="left" w:pos="1770"/>
        </w:tabs>
        <w:spacing w:line="360" w:lineRule="auto"/>
        <w:jc w:val="both"/>
        <w:rPr>
          <w:rFonts w:cs="Arial"/>
          <w:color w:val="000000" w:themeColor="text1"/>
        </w:rPr>
      </w:pPr>
      <w:r>
        <w:rPr>
          <w:rFonts w:cs="Arial"/>
          <w:color w:val="000000" w:themeColor="text1"/>
        </w:rPr>
        <w:t>3. Constitution of the Republic of South Africa, 1996</w:t>
      </w:r>
    </w:p>
    <w:p w14:paraId="173072C5" w14:textId="77777777" w:rsidR="007D1102" w:rsidRDefault="007D1102" w:rsidP="007D1102">
      <w:pPr>
        <w:tabs>
          <w:tab w:val="left" w:pos="1770"/>
        </w:tabs>
        <w:spacing w:line="360" w:lineRule="auto"/>
        <w:jc w:val="both"/>
        <w:rPr>
          <w:rFonts w:cs="Arial"/>
          <w:color w:val="000000" w:themeColor="text1"/>
        </w:rPr>
      </w:pPr>
      <w:r>
        <w:rPr>
          <w:rFonts w:cs="Arial"/>
          <w:color w:val="000000" w:themeColor="text1"/>
        </w:rPr>
        <w:t xml:space="preserve">4. </w:t>
      </w:r>
      <w:r w:rsidRPr="00AF52D4">
        <w:rPr>
          <w:rFonts w:cs="Arial"/>
          <w:color w:val="000000" w:themeColor="text1"/>
        </w:rPr>
        <w:t>Maritime Zones Act 1994 (Act 15 of 1994)</w:t>
      </w:r>
    </w:p>
    <w:p w14:paraId="38AFA07F" w14:textId="77777777" w:rsidR="007D1102" w:rsidRDefault="007D1102" w:rsidP="007D1102">
      <w:pPr>
        <w:tabs>
          <w:tab w:val="left" w:pos="1770"/>
        </w:tabs>
        <w:spacing w:line="360" w:lineRule="auto"/>
        <w:jc w:val="both"/>
        <w:rPr>
          <w:rFonts w:cs="Arial"/>
          <w:color w:val="000000" w:themeColor="text1"/>
        </w:rPr>
      </w:pPr>
      <w:r>
        <w:rPr>
          <w:rFonts w:cs="Arial"/>
        </w:rPr>
        <w:t xml:space="preserve">5. </w:t>
      </w:r>
      <w:r w:rsidRPr="00205989">
        <w:rPr>
          <w:rFonts w:cs="Arial"/>
        </w:rPr>
        <w:t>M</w:t>
      </w:r>
      <w:r>
        <w:rPr>
          <w:rFonts w:cs="Arial"/>
        </w:rPr>
        <w:t xml:space="preserve">arine </w:t>
      </w:r>
      <w:r w:rsidRPr="00205989">
        <w:rPr>
          <w:rFonts w:cs="Arial"/>
        </w:rPr>
        <w:t>S</w:t>
      </w:r>
      <w:r>
        <w:rPr>
          <w:rFonts w:cs="Arial"/>
        </w:rPr>
        <w:t xml:space="preserve">patial </w:t>
      </w:r>
      <w:r w:rsidRPr="00205989">
        <w:rPr>
          <w:rFonts w:cs="Arial"/>
        </w:rPr>
        <w:t>P</w:t>
      </w:r>
      <w:r>
        <w:rPr>
          <w:rFonts w:cs="Arial"/>
        </w:rPr>
        <w:t>lanning</w:t>
      </w:r>
      <w:r w:rsidRPr="00205989">
        <w:rPr>
          <w:rFonts w:cs="Arial"/>
        </w:rPr>
        <w:t xml:space="preserve"> Act</w:t>
      </w:r>
      <w:r>
        <w:rPr>
          <w:rFonts w:cs="Arial"/>
        </w:rPr>
        <w:t xml:space="preserve">, 2018, </w:t>
      </w:r>
      <w:r w:rsidRPr="00AF52D4">
        <w:rPr>
          <w:rFonts w:cs="Arial"/>
          <w:color w:val="000000" w:themeColor="text1"/>
        </w:rPr>
        <w:t>Act 16 of 2018</w:t>
      </w:r>
    </w:p>
    <w:p w14:paraId="44ACF311" w14:textId="77777777" w:rsidR="007D1102" w:rsidRDefault="007D1102" w:rsidP="007D1102">
      <w:pPr>
        <w:tabs>
          <w:tab w:val="left" w:pos="1770"/>
        </w:tabs>
        <w:spacing w:line="360" w:lineRule="auto"/>
        <w:jc w:val="both"/>
        <w:rPr>
          <w:rFonts w:cs="Arial"/>
          <w:color w:val="000000" w:themeColor="text1"/>
        </w:rPr>
      </w:pPr>
      <w:r>
        <w:rPr>
          <w:rFonts w:cs="Arial"/>
          <w:color w:val="000000" w:themeColor="text1"/>
        </w:rPr>
        <w:t xml:space="preserve">6. </w:t>
      </w:r>
      <w:r w:rsidRPr="00AF52D4">
        <w:rPr>
          <w:rFonts w:cs="Arial"/>
          <w:color w:val="000000" w:themeColor="text1"/>
        </w:rPr>
        <w:t>2017 National Framework on Marine Spatial Planning in South Africa</w:t>
      </w:r>
    </w:p>
    <w:p w14:paraId="39F59F3B" w14:textId="77777777" w:rsidR="007D1102" w:rsidRDefault="007D1102" w:rsidP="007D1102">
      <w:pPr>
        <w:tabs>
          <w:tab w:val="left" w:pos="1770"/>
        </w:tabs>
        <w:spacing w:line="360" w:lineRule="auto"/>
        <w:jc w:val="both"/>
      </w:pPr>
      <w:r>
        <w:rPr>
          <w:rFonts w:cs="Arial"/>
          <w:iCs/>
          <w:color w:val="000000" w:themeColor="text1"/>
        </w:rPr>
        <w:t xml:space="preserve">7. </w:t>
      </w:r>
      <w:proofErr w:type="spellStart"/>
      <w:r w:rsidRPr="00AF52D4">
        <w:rPr>
          <w:rFonts w:cs="Arial"/>
          <w:i/>
          <w:color w:val="000000" w:themeColor="text1"/>
        </w:rPr>
        <w:t>Macard</w:t>
      </w:r>
      <w:proofErr w:type="spellEnd"/>
      <w:r w:rsidRPr="00AF52D4">
        <w:rPr>
          <w:rFonts w:cs="Arial"/>
          <w:i/>
          <w:color w:val="000000" w:themeColor="text1"/>
        </w:rPr>
        <w:t xml:space="preserve"> Stein &amp; Co v Port Marine Contractors (Pty) Ltd </w:t>
      </w:r>
      <w:r w:rsidRPr="00AF52D4">
        <w:rPr>
          <w:rFonts w:cs="Arial"/>
          <w:color w:val="000000" w:themeColor="text1"/>
        </w:rPr>
        <w:t>1995 3 SA</w:t>
      </w:r>
    </w:p>
    <w:p w14:paraId="1EEA5BEC" w14:textId="77777777" w:rsidR="007D1102" w:rsidRDefault="007D1102" w:rsidP="007D1102">
      <w:pPr>
        <w:tabs>
          <w:tab w:val="left" w:pos="1770"/>
        </w:tabs>
        <w:spacing w:line="360" w:lineRule="auto"/>
        <w:jc w:val="both"/>
        <w:rPr>
          <w:color w:val="000000"/>
        </w:rPr>
      </w:pPr>
      <w:r>
        <w:rPr>
          <w:color w:val="000000"/>
        </w:rPr>
        <w:t xml:space="preserve">8. </w:t>
      </w:r>
      <w:r w:rsidRPr="003B2B3E">
        <w:rPr>
          <w:color w:val="000000"/>
        </w:rPr>
        <w:t xml:space="preserve">Hassan, </w:t>
      </w:r>
      <w:proofErr w:type="spellStart"/>
      <w:r w:rsidRPr="003B2B3E">
        <w:rPr>
          <w:color w:val="000000"/>
        </w:rPr>
        <w:t>Kuokkanen</w:t>
      </w:r>
      <w:proofErr w:type="spellEnd"/>
      <w:r w:rsidRPr="003B2B3E">
        <w:rPr>
          <w:color w:val="000000"/>
        </w:rPr>
        <w:t xml:space="preserve"> &amp; </w:t>
      </w:r>
      <w:proofErr w:type="spellStart"/>
      <w:r w:rsidRPr="003B2B3E">
        <w:rPr>
          <w:color w:val="000000"/>
        </w:rPr>
        <w:t>Soininen</w:t>
      </w:r>
      <w:proofErr w:type="spellEnd"/>
      <w:r w:rsidRPr="003B2B3E">
        <w:rPr>
          <w:color w:val="000000"/>
        </w:rPr>
        <w:t xml:space="preserve"> (Eds) Transboundary Marine Spatial Planning and International Law (2015) </w:t>
      </w:r>
    </w:p>
    <w:p w14:paraId="1FD53D22" w14:textId="77777777" w:rsidR="007D1102" w:rsidRPr="003B2B3E" w:rsidRDefault="007D1102" w:rsidP="007D1102">
      <w:pPr>
        <w:tabs>
          <w:tab w:val="left" w:pos="1770"/>
        </w:tabs>
        <w:spacing w:line="360" w:lineRule="auto"/>
        <w:jc w:val="both"/>
        <w:rPr>
          <w:color w:val="000000"/>
        </w:rPr>
      </w:pPr>
      <w:r>
        <w:rPr>
          <w:color w:val="000000"/>
        </w:rPr>
        <w:t xml:space="preserve">9. </w:t>
      </w:r>
      <w:r w:rsidRPr="003B2B3E">
        <w:rPr>
          <w:color w:val="000000"/>
        </w:rPr>
        <w:t xml:space="preserve">Dorrington RA, Lombard AT, </w:t>
      </w:r>
      <w:proofErr w:type="spellStart"/>
      <w:r w:rsidRPr="003B2B3E">
        <w:rPr>
          <w:color w:val="000000"/>
        </w:rPr>
        <w:t>Bornman</w:t>
      </w:r>
      <w:proofErr w:type="spellEnd"/>
      <w:r w:rsidRPr="003B2B3E">
        <w:rPr>
          <w:color w:val="000000"/>
        </w:rPr>
        <w:t xml:space="preserve"> TG, Adams JB, Cawthra HC, </w:t>
      </w:r>
      <w:proofErr w:type="spellStart"/>
      <w:r w:rsidRPr="003B2B3E">
        <w:rPr>
          <w:color w:val="000000"/>
        </w:rPr>
        <w:t>Deyzel</w:t>
      </w:r>
      <w:proofErr w:type="spellEnd"/>
      <w:r w:rsidRPr="003B2B3E">
        <w:rPr>
          <w:color w:val="000000"/>
        </w:rPr>
        <w:t xml:space="preserve"> SHP </w:t>
      </w:r>
      <w:r w:rsidRPr="00CE02F2">
        <w:rPr>
          <w:i/>
          <w:iCs/>
          <w:color w:val="000000"/>
        </w:rPr>
        <w:t>et al</w:t>
      </w:r>
      <w:r w:rsidRPr="003B2B3E">
        <w:rPr>
          <w:color w:val="000000"/>
        </w:rPr>
        <w:t xml:space="preserve">. “Working together for our oceans: A marine spatial plan for </w:t>
      </w:r>
      <w:proofErr w:type="spellStart"/>
      <w:r w:rsidRPr="003B2B3E">
        <w:rPr>
          <w:color w:val="000000"/>
        </w:rPr>
        <w:t>Algoa</w:t>
      </w:r>
      <w:proofErr w:type="spellEnd"/>
      <w:r w:rsidRPr="003B2B3E">
        <w:rPr>
          <w:color w:val="000000"/>
        </w:rPr>
        <w:t xml:space="preserve"> Bay, South Africa” 2018 (114) </w:t>
      </w:r>
      <w:r w:rsidRPr="00CE02F2">
        <w:rPr>
          <w:i/>
          <w:iCs/>
          <w:color w:val="000000"/>
        </w:rPr>
        <w:t xml:space="preserve">S </w:t>
      </w:r>
      <w:proofErr w:type="spellStart"/>
      <w:r w:rsidRPr="00CE02F2">
        <w:rPr>
          <w:i/>
          <w:iCs/>
          <w:color w:val="000000"/>
        </w:rPr>
        <w:t>Afr</w:t>
      </w:r>
      <w:proofErr w:type="spellEnd"/>
      <w:r w:rsidRPr="00CE02F2">
        <w:rPr>
          <w:i/>
          <w:iCs/>
          <w:color w:val="000000"/>
        </w:rPr>
        <w:t xml:space="preserve"> J Sci.</w:t>
      </w:r>
      <w:r w:rsidRPr="003B2B3E">
        <w:rPr>
          <w:color w:val="000000"/>
        </w:rPr>
        <w:t xml:space="preserve"> </w:t>
      </w:r>
    </w:p>
    <w:p w14:paraId="5297175E" w14:textId="77777777" w:rsidR="007D1102" w:rsidRDefault="007D1102" w:rsidP="007D1102">
      <w:pPr>
        <w:tabs>
          <w:tab w:val="left" w:pos="1770"/>
        </w:tabs>
        <w:spacing w:line="360" w:lineRule="auto"/>
        <w:jc w:val="both"/>
        <w:rPr>
          <w:color w:val="000000"/>
        </w:rPr>
      </w:pPr>
      <w:r>
        <w:rPr>
          <w:color w:val="000000"/>
        </w:rPr>
        <w:t xml:space="preserve">10. </w:t>
      </w:r>
      <w:proofErr w:type="spellStart"/>
      <w:r w:rsidRPr="003B2B3E">
        <w:rPr>
          <w:color w:val="000000"/>
        </w:rPr>
        <w:t>Tsilimigkas</w:t>
      </w:r>
      <w:proofErr w:type="spellEnd"/>
      <w:r w:rsidRPr="003B2B3E">
        <w:rPr>
          <w:color w:val="000000"/>
        </w:rPr>
        <w:t xml:space="preserve"> and </w:t>
      </w:r>
      <w:proofErr w:type="spellStart"/>
      <w:r w:rsidRPr="003B2B3E">
        <w:rPr>
          <w:color w:val="000000"/>
        </w:rPr>
        <w:t>Rempis</w:t>
      </w:r>
      <w:proofErr w:type="spellEnd"/>
      <w:r w:rsidRPr="003B2B3E">
        <w:rPr>
          <w:color w:val="000000"/>
        </w:rPr>
        <w:t xml:space="preserve"> “Maritime Spatial Planning and Spatial Planning: Synergy, Issues and Incompatibilities Evidence from Crete Island, Greece” 2017 139 </w:t>
      </w:r>
      <w:r w:rsidRPr="00CE02F2">
        <w:rPr>
          <w:i/>
          <w:iCs/>
          <w:color w:val="000000"/>
        </w:rPr>
        <w:t>Ocean and Coastal Management</w:t>
      </w:r>
      <w:r w:rsidRPr="003B2B3E">
        <w:rPr>
          <w:color w:val="000000"/>
        </w:rPr>
        <w:t xml:space="preserve"> </w:t>
      </w:r>
    </w:p>
    <w:p w14:paraId="09685F12" w14:textId="77777777" w:rsidR="007D1102" w:rsidRPr="00F961B1" w:rsidRDefault="007D1102" w:rsidP="007D1102">
      <w:pPr>
        <w:tabs>
          <w:tab w:val="left" w:pos="1770"/>
        </w:tabs>
        <w:spacing w:line="360" w:lineRule="auto"/>
        <w:jc w:val="both"/>
        <w:rPr>
          <w:color w:val="000000"/>
        </w:rPr>
      </w:pPr>
      <w:r>
        <w:rPr>
          <w:color w:val="000000"/>
        </w:rPr>
        <w:t xml:space="preserve">11. </w:t>
      </w:r>
      <w:r w:rsidRPr="00AF52D4">
        <w:rPr>
          <w:rFonts w:cs="Arial"/>
          <w:color w:val="000000" w:themeColor="text1"/>
        </w:rPr>
        <w:t xml:space="preserve">C </w:t>
      </w:r>
      <w:proofErr w:type="spellStart"/>
      <w:r w:rsidRPr="00AF52D4">
        <w:rPr>
          <w:rFonts w:cs="Arial"/>
          <w:color w:val="000000" w:themeColor="text1"/>
        </w:rPr>
        <w:t>Ehler</w:t>
      </w:r>
      <w:proofErr w:type="spellEnd"/>
      <w:r w:rsidRPr="00AF52D4">
        <w:rPr>
          <w:rFonts w:cs="Arial"/>
          <w:color w:val="000000" w:themeColor="text1"/>
        </w:rPr>
        <w:t xml:space="preserve"> &amp; F </w:t>
      </w:r>
      <w:proofErr w:type="spellStart"/>
      <w:r w:rsidRPr="00AF52D4">
        <w:rPr>
          <w:rFonts w:cs="Arial"/>
          <w:color w:val="000000" w:themeColor="text1"/>
        </w:rPr>
        <w:t>Douvere</w:t>
      </w:r>
      <w:proofErr w:type="spellEnd"/>
      <w:r w:rsidRPr="00AF52D4">
        <w:rPr>
          <w:rFonts w:cs="Arial"/>
          <w:color w:val="000000" w:themeColor="text1"/>
        </w:rPr>
        <w:t xml:space="preserve"> </w:t>
      </w:r>
      <w:r w:rsidRPr="00AF52D4">
        <w:rPr>
          <w:rFonts w:cs="Arial"/>
          <w:i/>
          <w:iCs/>
          <w:color w:val="000000" w:themeColor="text1"/>
        </w:rPr>
        <w:t>Marine Spatial Planning: A Step-by-Step Approach Toward Ecosystem-Based Management</w:t>
      </w:r>
      <w:r w:rsidRPr="00AF52D4">
        <w:rPr>
          <w:rFonts w:cs="Arial"/>
          <w:color w:val="000000" w:themeColor="text1"/>
        </w:rPr>
        <w:t xml:space="preserve">. </w:t>
      </w:r>
      <w:r w:rsidRPr="00AF52D4">
        <w:rPr>
          <w:rFonts w:cs="Arial"/>
          <w:i/>
          <w:iCs/>
          <w:color w:val="000000" w:themeColor="text1"/>
        </w:rPr>
        <w:t>Intergovernmental Oceanographic Commission and Man and the Biosphere Programme</w:t>
      </w:r>
      <w:r w:rsidRPr="00AF52D4">
        <w:rPr>
          <w:rFonts w:cs="Arial"/>
          <w:color w:val="000000" w:themeColor="text1"/>
        </w:rPr>
        <w:t xml:space="preserve"> Manual and Guides No. 53 ICAM Dossier No. 6. (UNESCO. 2009)</w:t>
      </w:r>
    </w:p>
    <w:p w14:paraId="0413FAED" w14:textId="77777777" w:rsidR="007D1102" w:rsidRPr="00F961B1" w:rsidRDefault="007D1102" w:rsidP="007D1102">
      <w:pPr>
        <w:tabs>
          <w:tab w:val="left" w:pos="1770"/>
        </w:tabs>
        <w:spacing w:line="360" w:lineRule="auto"/>
        <w:jc w:val="both"/>
      </w:pPr>
      <w:r>
        <w:t xml:space="preserve">12. </w:t>
      </w:r>
      <w:proofErr w:type="spellStart"/>
      <w:r w:rsidRPr="00AF52D4">
        <w:rPr>
          <w:rFonts w:cs="Arial"/>
          <w:color w:val="000000" w:themeColor="text1"/>
          <w:lang w:val="en-US"/>
        </w:rPr>
        <w:t>Vrancken</w:t>
      </w:r>
      <w:proofErr w:type="spellEnd"/>
      <w:r w:rsidRPr="00AF52D4">
        <w:rPr>
          <w:rFonts w:cs="Arial"/>
          <w:color w:val="000000" w:themeColor="text1"/>
          <w:lang w:val="en-US"/>
        </w:rPr>
        <w:t xml:space="preserve"> “South Africa” in </w:t>
      </w:r>
      <w:proofErr w:type="spellStart"/>
      <w:r w:rsidRPr="00AF52D4">
        <w:rPr>
          <w:rFonts w:cs="Arial"/>
          <w:color w:val="000000" w:themeColor="text1"/>
          <w:lang w:val="en-US"/>
        </w:rPr>
        <w:t>Vrancken</w:t>
      </w:r>
      <w:proofErr w:type="spellEnd"/>
      <w:r w:rsidRPr="00AF52D4">
        <w:rPr>
          <w:rFonts w:cs="Arial"/>
          <w:color w:val="000000" w:themeColor="text1"/>
          <w:lang w:val="en-US"/>
        </w:rPr>
        <w:t xml:space="preserve"> and </w:t>
      </w:r>
      <w:proofErr w:type="spellStart"/>
      <w:r w:rsidRPr="00AF52D4">
        <w:rPr>
          <w:rFonts w:cs="Arial"/>
          <w:color w:val="000000" w:themeColor="text1"/>
          <w:lang w:val="en-US"/>
        </w:rPr>
        <w:t>Tsamenyi</w:t>
      </w:r>
      <w:proofErr w:type="spellEnd"/>
      <w:r w:rsidRPr="00AF52D4">
        <w:rPr>
          <w:rFonts w:cs="Arial"/>
          <w:color w:val="000000" w:themeColor="text1"/>
          <w:lang w:val="en-US"/>
        </w:rPr>
        <w:t xml:space="preserve"> (eds) </w:t>
      </w:r>
      <w:r w:rsidRPr="00AF52D4">
        <w:rPr>
          <w:rFonts w:cs="Arial"/>
          <w:i/>
          <w:iCs/>
          <w:color w:val="000000" w:themeColor="text1"/>
          <w:lang w:val="en-US"/>
        </w:rPr>
        <w:t xml:space="preserve">The Law of the Sea: The African Union and its Member States </w:t>
      </w:r>
      <w:r w:rsidRPr="00AF52D4">
        <w:rPr>
          <w:rFonts w:cs="Arial"/>
          <w:color w:val="000000" w:themeColor="text1"/>
          <w:lang w:val="en-US"/>
        </w:rPr>
        <w:t>(2017)</w:t>
      </w:r>
    </w:p>
    <w:p w14:paraId="0D8E1138" w14:textId="3C4A8F14" w:rsidR="007D1102" w:rsidRDefault="007D1102" w:rsidP="007D1102">
      <w:pPr>
        <w:tabs>
          <w:tab w:val="left" w:pos="1770"/>
        </w:tabs>
        <w:spacing w:line="360" w:lineRule="auto"/>
        <w:jc w:val="both"/>
        <w:rPr>
          <w:lang w:val="en-US"/>
        </w:rPr>
      </w:pPr>
      <w:r w:rsidRPr="009A5A79">
        <w:rPr>
          <w:lang w:val="en-US"/>
        </w:rPr>
        <w:t xml:space="preserve">ND King, HA Strydom &amp; FP Retief (eds) </w:t>
      </w:r>
      <w:r w:rsidRPr="009A5A79">
        <w:rPr>
          <w:i/>
          <w:iCs/>
          <w:lang w:val="en-US"/>
        </w:rPr>
        <w:t xml:space="preserve">Environmental Management in South Africa </w:t>
      </w:r>
      <w:r w:rsidRPr="009A5A79">
        <w:rPr>
          <w:lang w:val="en-US"/>
        </w:rPr>
        <w:t>3 Ed (2018)</w:t>
      </w:r>
    </w:p>
    <w:p w14:paraId="135FBACD" w14:textId="5A8DF75A" w:rsidR="001613CF" w:rsidRDefault="001613CF" w:rsidP="007D1102">
      <w:pPr>
        <w:tabs>
          <w:tab w:val="left" w:pos="1770"/>
        </w:tabs>
        <w:spacing w:line="360" w:lineRule="auto"/>
        <w:jc w:val="both"/>
        <w:rPr>
          <w:lang w:val="en-US"/>
        </w:rPr>
      </w:pPr>
    </w:p>
    <w:p w14:paraId="13573055" w14:textId="2A6821BB" w:rsidR="001613CF" w:rsidRPr="001613CF" w:rsidRDefault="007F7DA5" w:rsidP="007D1102">
      <w:pPr>
        <w:tabs>
          <w:tab w:val="left" w:pos="1770"/>
        </w:tabs>
        <w:spacing w:line="360" w:lineRule="auto"/>
        <w:jc w:val="both"/>
        <w:rPr>
          <w:b/>
          <w:bCs/>
          <w:lang w:val="en-US"/>
        </w:rPr>
      </w:pPr>
      <w:proofErr w:type="spellStart"/>
      <w:r>
        <w:rPr>
          <w:b/>
          <w:bCs/>
          <w:lang w:val="en-US"/>
        </w:rPr>
        <w:t>Tajudeen</w:t>
      </w:r>
      <w:proofErr w:type="spellEnd"/>
      <w:r>
        <w:rPr>
          <w:b/>
          <w:bCs/>
          <w:lang w:val="en-US"/>
        </w:rPr>
        <w:t xml:space="preserve"> </w:t>
      </w:r>
      <w:proofErr w:type="spellStart"/>
      <w:r>
        <w:rPr>
          <w:b/>
          <w:bCs/>
          <w:lang w:val="en-US"/>
        </w:rPr>
        <w:t>Sanni</w:t>
      </w:r>
      <w:proofErr w:type="spellEnd"/>
    </w:p>
    <w:p w14:paraId="0BA3849D" w14:textId="1B2337F4" w:rsidR="001613CF" w:rsidRDefault="001613CF" w:rsidP="007D1102">
      <w:pPr>
        <w:tabs>
          <w:tab w:val="left" w:pos="1770"/>
        </w:tabs>
        <w:spacing w:line="360" w:lineRule="auto"/>
        <w:jc w:val="both"/>
        <w:rPr>
          <w:lang w:val="en-US"/>
        </w:rPr>
      </w:pPr>
    </w:p>
    <w:p w14:paraId="272FE6F4" w14:textId="77777777" w:rsidR="001613CF" w:rsidRDefault="001613CF" w:rsidP="001613CF">
      <w:proofErr w:type="spellStart"/>
      <w:r>
        <w:t>Dr.</w:t>
      </w:r>
      <w:proofErr w:type="spellEnd"/>
      <w:r>
        <w:t xml:space="preserve"> </w:t>
      </w:r>
      <w:proofErr w:type="spellStart"/>
      <w:r>
        <w:t>Tajudeen</w:t>
      </w:r>
      <w:proofErr w:type="spellEnd"/>
      <w:r>
        <w:t xml:space="preserve"> </w:t>
      </w:r>
      <w:proofErr w:type="spellStart"/>
      <w:r>
        <w:t>Sanni</w:t>
      </w:r>
      <w:proofErr w:type="spellEnd"/>
      <w:r>
        <w:t xml:space="preserve"> has his LLD/PhD in Public Law at Nelson Mandela University, Port Elizabeth, South Africa. </w:t>
      </w:r>
      <w:proofErr w:type="spellStart"/>
      <w:r>
        <w:t>Sanni</w:t>
      </w:r>
      <w:proofErr w:type="spellEnd"/>
      <w:r>
        <w:t xml:space="preserve"> is a Research Fellow, Department of Public Law, Nelson Mandela University, and Port Elizabeth, South Africa. </w:t>
      </w:r>
      <w:r w:rsidRPr="008316D6">
        <w:t xml:space="preserve">Dr </w:t>
      </w:r>
      <w:proofErr w:type="spellStart"/>
      <w:r w:rsidRPr="008316D6">
        <w:t>Sanni</w:t>
      </w:r>
      <w:proofErr w:type="spellEnd"/>
      <w:r w:rsidRPr="008316D6">
        <w:t xml:space="preserve"> specializes in </w:t>
      </w:r>
      <w:r>
        <w:t>Public International Law, Law</w:t>
      </w:r>
      <w:r w:rsidRPr="008316D6">
        <w:t xml:space="preserve"> of the Sea</w:t>
      </w:r>
      <w:r>
        <w:t xml:space="preserve"> and Marine Spatial Planning</w:t>
      </w:r>
      <w:r w:rsidRPr="008316D6">
        <w:t>.</w:t>
      </w:r>
      <w:r>
        <w:t xml:space="preserve"> He has taught course units such as Public </w:t>
      </w:r>
      <w:r>
        <w:lastRenderedPageBreak/>
        <w:t xml:space="preserve">International Law, Law of the Sea, Humanitarian and Refugee Law and Policy, Jurisprudence, Equity and Trust as well as Electronic Transactions among others at Kampala International University, Uganda as a Senior Lecturer and Islamic University in Uganda. He has keen interest in justice advocacy and research as exemplified by the founding of </w:t>
      </w:r>
      <w:r w:rsidRPr="00C749F1">
        <w:rPr>
          <w:i/>
        </w:rPr>
        <w:t xml:space="preserve">Academics </w:t>
      </w:r>
      <w:r>
        <w:rPr>
          <w:i/>
        </w:rPr>
        <w:t>a</w:t>
      </w:r>
      <w:r w:rsidRPr="00C749F1">
        <w:rPr>
          <w:i/>
        </w:rPr>
        <w:t>gainst Injustice</w:t>
      </w:r>
      <w:r>
        <w:rPr>
          <w:i/>
        </w:rPr>
        <w:t xml:space="preserve"> </w:t>
      </w:r>
      <w:r w:rsidRPr="00A76A3D">
        <w:t>and</w:t>
      </w:r>
      <w:r>
        <w:rPr>
          <w:i/>
        </w:rPr>
        <w:t xml:space="preserve"> </w:t>
      </w:r>
      <w:r w:rsidRPr="00A76A3D">
        <w:rPr>
          <w:i/>
        </w:rPr>
        <w:t>Environmental Law and Action Initiative</w:t>
      </w:r>
      <w:r>
        <w:t xml:space="preserve">. Dr </w:t>
      </w:r>
      <w:proofErr w:type="spellStart"/>
      <w:r>
        <w:t>Sanni</w:t>
      </w:r>
      <w:proofErr w:type="spellEnd"/>
      <w:r>
        <w:t xml:space="preserve"> has academic publications to his credit and belongs to a number of professional associations such as Association of Environmental Law Lecturers in Africa, International Law Association, Society of International Economic Law and Society of Legal Scholars, UK.</w:t>
      </w:r>
    </w:p>
    <w:p w14:paraId="312658F8" w14:textId="77777777" w:rsidR="001613CF" w:rsidRPr="00F961B1" w:rsidRDefault="001613CF" w:rsidP="007D1102">
      <w:pPr>
        <w:tabs>
          <w:tab w:val="left" w:pos="1770"/>
        </w:tabs>
        <w:spacing w:line="360" w:lineRule="auto"/>
        <w:jc w:val="both"/>
      </w:pPr>
    </w:p>
    <w:sectPr w:rsidR="001613CF" w:rsidRPr="00F961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C00B3" w14:textId="77777777" w:rsidR="000A4F63" w:rsidRDefault="000A4F63" w:rsidP="00700843">
      <w:r>
        <w:separator/>
      </w:r>
    </w:p>
  </w:endnote>
  <w:endnote w:type="continuationSeparator" w:id="0">
    <w:p w14:paraId="61D8DC35" w14:textId="77777777" w:rsidR="000A4F63" w:rsidRDefault="000A4F63" w:rsidP="0070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E5556" w14:textId="77777777" w:rsidR="000A4F63" w:rsidRDefault="000A4F63" w:rsidP="00700843">
      <w:r>
        <w:separator/>
      </w:r>
    </w:p>
  </w:footnote>
  <w:footnote w:type="continuationSeparator" w:id="0">
    <w:p w14:paraId="748E9A82" w14:textId="77777777" w:rsidR="000A4F63" w:rsidRDefault="000A4F63" w:rsidP="00700843">
      <w:r>
        <w:continuationSeparator/>
      </w:r>
    </w:p>
  </w:footnote>
  <w:footnote w:id="1">
    <w:p w14:paraId="333E1FC8" w14:textId="77777777" w:rsidR="007F7DA5" w:rsidRDefault="007F7DA5" w:rsidP="007F7DA5">
      <w:pPr>
        <w:pStyle w:val="NormalWeb"/>
      </w:pPr>
      <w:r w:rsidRPr="00365E52">
        <w:t>† Post-doctoral researcher, Department of Public Law, Faculty of Law, Nelson Mandela University, South Africa. The author researches under the auspices of the Incumbent, Chair of Law of the Sea and Development in Africa, Nelson Mandela University</w:t>
      </w:r>
      <w:r>
        <w:t>.</w:t>
      </w:r>
      <w:r w:rsidRPr="00365E52">
        <w:t xml:space="preserve">  </w:t>
      </w:r>
    </w:p>
    <w:p w14:paraId="71560F5A" w14:textId="77777777" w:rsidR="007F7DA5" w:rsidRDefault="007F7DA5" w:rsidP="007F7DA5">
      <w:pPr>
        <w:pStyle w:val="NormalWeb"/>
      </w:pPr>
      <w:r w:rsidRPr="00365E52">
        <w:t>†† LLB LLM LLD Post-doc Fellow: Nelson Mandela University, South African Research Chair in the Law of the Sea and Development in Afric</w:t>
      </w:r>
      <w:r>
        <w:t>a.</w:t>
      </w:r>
    </w:p>
  </w:footnote>
  <w:footnote w:id="2">
    <w:p w14:paraId="0D97DC6B" w14:textId="77777777" w:rsidR="007F7DA5" w:rsidRDefault="007F7DA5" w:rsidP="007F7DA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180"/>
    <w:rsid w:val="000A4F63"/>
    <w:rsid w:val="001613CF"/>
    <w:rsid w:val="001B3184"/>
    <w:rsid w:val="002A2125"/>
    <w:rsid w:val="00366333"/>
    <w:rsid w:val="00383DA7"/>
    <w:rsid w:val="00700843"/>
    <w:rsid w:val="007D1102"/>
    <w:rsid w:val="007F7DA5"/>
    <w:rsid w:val="00895EBD"/>
    <w:rsid w:val="00AE5180"/>
    <w:rsid w:val="00D07D11"/>
    <w:rsid w:val="00DE65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B4F3"/>
  <w15:docId w15:val="{84EE9201-2115-DF45-BAC2-4BB2E882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80"/>
    <w:pPr>
      <w:spacing w:before="0" w:after="0"/>
      <w:jc w:val="left"/>
    </w:pPr>
    <w:rPr>
      <w:rFonts w:ascii="Times New Roman" w:eastAsia="Times New Roman" w:hAnsi="Times New Roman" w:cs="Times New Roman"/>
      <w:lang w:eastAsia="en-GB"/>
    </w:rPr>
  </w:style>
  <w:style w:type="paragraph" w:styleId="Heading1">
    <w:name w:val="heading 1"/>
    <w:basedOn w:val="Normal"/>
    <w:next w:val="Normal"/>
    <w:link w:val="Heading1Char"/>
    <w:autoRedefine/>
    <w:uiPriority w:val="9"/>
    <w:qFormat/>
    <w:rsid w:val="00383DA7"/>
    <w:pPr>
      <w:keepNext/>
      <w:keepLines/>
      <w:spacing w:before="240" w:after="120"/>
      <w:jc w:val="both"/>
      <w:outlineLvl w:val="0"/>
    </w:pPr>
    <w:rPr>
      <w:rFonts w:ascii="Arial" w:eastAsiaTheme="majorEastAsia" w:hAnsi="Arial" w:cstheme="majorBidi"/>
      <w:color w:val="2F5496" w:themeColor="accent1"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DA7"/>
    <w:rPr>
      <w:rFonts w:ascii="Arial" w:eastAsiaTheme="majorEastAsia" w:hAnsi="Arial" w:cstheme="majorBidi"/>
      <w:color w:val="2F5496" w:themeColor="accent1" w:themeShade="BF"/>
      <w:sz w:val="32"/>
      <w:szCs w:val="32"/>
      <w:lang w:val="en-US"/>
    </w:rPr>
  </w:style>
  <w:style w:type="character" w:customStyle="1" w:styleId="e24kjd">
    <w:name w:val="e24kjd"/>
    <w:basedOn w:val="DefaultParagraphFont"/>
    <w:rsid w:val="00AE5180"/>
  </w:style>
  <w:style w:type="character" w:styleId="CommentReference">
    <w:name w:val="annotation reference"/>
    <w:basedOn w:val="DefaultParagraphFont"/>
    <w:uiPriority w:val="99"/>
    <w:semiHidden/>
    <w:unhideWhenUsed/>
    <w:rsid w:val="00AE5180"/>
    <w:rPr>
      <w:sz w:val="16"/>
      <w:szCs w:val="16"/>
    </w:rPr>
  </w:style>
  <w:style w:type="paragraph" w:styleId="CommentText">
    <w:name w:val="annotation text"/>
    <w:basedOn w:val="Normal"/>
    <w:link w:val="CommentTextChar"/>
    <w:uiPriority w:val="99"/>
    <w:unhideWhenUsed/>
    <w:rsid w:val="00AE5180"/>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AE5180"/>
    <w:rPr>
      <w:sz w:val="20"/>
      <w:szCs w:val="20"/>
      <w:lang w:val="en-US"/>
    </w:rPr>
  </w:style>
  <w:style w:type="paragraph" w:customStyle="1" w:styleId="Default">
    <w:name w:val="Default"/>
    <w:rsid w:val="00AE5180"/>
    <w:pPr>
      <w:autoSpaceDE w:val="0"/>
      <w:autoSpaceDN w:val="0"/>
      <w:adjustRightInd w:val="0"/>
      <w:spacing w:before="0" w:after="0"/>
      <w:jc w:val="left"/>
    </w:pPr>
    <w:rPr>
      <w:rFonts w:ascii="Times New Roman" w:hAnsi="Times New Roman" w:cs="Times New Roman"/>
      <w:color w:val="000000"/>
      <w:lang w:val="en-GB"/>
    </w:rPr>
  </w:style>
  <w:style w:type="character" w:styleId="Strong">
    <w:name w:val="Strong"/>
    <w:basedOn w:val="DefaultParagraphFont"/>
    <w:uiPriority w:val="22"/>
    <w:qFormat/>
    <w:rsid w:val="00AE5180"/>
    <w:rPr>
      <w:b/>
      <w:bCs/>
    </w:rPr>
  </w:style>
  <w:style w:type="paragraph" w:styleId="BalloonText">
    <w:name w:val="Balloon Text"/>
    <w:basedOn w:val="Normal"/>
    <w:link w:val="BalloonTextChar"/>
    <w:uiPriority w:val="99"/>
    <w:semiHidden/>
    <w:unhideWhenUsed/>
    <w:rsid w:val="00AE5180"/>
    <w:rPr>
      <w:sz w:val="18"/>
      <w:szCs w:val="18"/>
    </w:rPr>
  </w:style>
  <w:style w:type="character" w:customStyle="1" w:styleId="BalloonTextChar">
    <w:name w:val="Balloon Text Char"/>
    <w:basedOn w:val="DefaultParagraphFont"/>
    <w:link w:val="BalloonText"/>
    <w:uiPriority w:val="99"/>
    <w:semiHidden/>
    <w:rsid w:val="00AE5180"/>
    <w:rPr>
      <w:rFonts w:ascii="Times New Roman" w:eastAsia="Times New Roman" w:hAnsi="Times New Roman" w:cs="Times New Roman"/>
      <w:sz w:val="18"/>
      <w:szCs w:val="18"/>
      <w:lang w:eastAsia="en-GB"/>
    </w:rPr>
  </w:style>
  <w:style w:type="paragraph" w:styleId="CommentSubject">
    <w:name w:val="annotation subject"/>
    <w:basedOn w:val="CommentText"/>
    <w:next w:val="CommentText"/>
    <w:link w:val="CommentSubjectChar"/>
    <w:uiPriority w:val="99"/>
    <w:semiHidden/>
    <w:unhideWhenUsed/>
    <w:rsid w:val="00700843"/>
    <w:pPr>
      <w:spacing w:after="0"/>
    </w:pPr>
    <w:rPr>
      <w:rFonts w:ascii="Times New Roman" w:eastAsia="Times New Roman" w:hAnsi="Times New Roman" w:cs="Times New Roman"/>
      <w:b/>
      <w:bCs/>
      <w:lang w:val="en-ZA" w:eastAsia="en-GB"/>
    </w:rPr>
  </w:style>
  <w:style w:type="character" w:customStyle="1" w:styleId="CommentSubjectChar">
    <w:name w:val="Comment Subject Char"/>
    <w:basedOn w:val="CommentTextChar"/>
    <w:link w:val="CommentSubject"/>
    <w:uiPriority w:val="99"/>
    <w:semiHidden/>
    <w:rsid w:val="00700843"/>
    <w:rPr>
      <w:rFonts w:ascii="Times New Roman" w:eastAsia="Times New Roman" w:hAnsi="Times New Roman" w:cs="Times New Roman"/>
      <w:b/>
      <w:bCs/>
      <w:sz w:val="20"/>
      <w:szCs w:val="20"/>
      <w:lang w:val="en-US" w:eastAsia="en-GB"/>
    </w:rPr>
  </w:style>
  <w:style w:type="paragraph" w:styleId="NormalWeb">
    <w:name w:val="Normal (Web)"/>
    <w:basedOn w:val="Normal"/>
    <w:uiPriority w:val="99"/>
    <w:semiHidden/>
    <w:unhideWhenUsed/>
    <w:rsid w:val="00700843"/>
  </w:style>
  <w:style w:type="paragraph" w:styleId="FootnoteText">
    <w:name w:val="footnote text"/>
    <w:basedOn w:val="Normal"/>
    <w:link w:val="FootnoteTextChar"/>
    <w:uiPriority w:val="99"/>
    <w:unhideWhenUsed/>
    <w:rsid w:val="00700843"/>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700843"/>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Metuge, Denning (Dr) (Summerstrand Campus South)</dc:creator>
  <cp:lastModifiedBy>Girgiç, I. (Işık)</cp:lastModifiedBy>
  <cp:revision>4</cp:revision>
  <dcterms:created xsi:type="dcterms:W3CDTF">2020-08-20T16:21:00Z</dcterms:created>
  <dcterms:modified xsi:type="dcterms:W3CDTF">2020-08-31T10:19:00Z</dcterms:modified>
</cp:coreProperties>
</file>