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92044" w14:textId="77777777" w:rsidR="00294B7D" w:rsidRPr="00EE394A" w:rsidRDefault="00294B7D" w:rsidP="00C07E7C">
      <w:pPr>
        <w:spacing w:after="0"/>
        <w:jc w:val="center"/>
        <w:rPr>
          <w:rFonts w:ascii="Times New Roman" w:hAnsi="Times New Roman" w:cs="Times New Roman"/>
          <w:b/>
          <w:bCs/>
          <w:sz w:val="24"/>
          <w:szCs w:val="24"/>
        </w:rPr>
      </w:pPr>
      <w:r w:rsidRPr="00EE394A">
        <w:rPr>
          <w:rFonts w:ascii="Times New Roman" w:hAnsi="Times New Roman" w:cs="Times New Roman"/>
          <w:b/>
          <w:bCs/>
          <w:sz w:val="24"/>
          <w:szCs w:val="24"/>
        </w:rPr>
        <w:t>Standing between Navigation and the Marine Environment:</w:t>
      </w:r>
    </w:p>
    <w:p w14:paraId="1B37C6CB" w14:textId="77777777" w:rsidR="00294B7D" w:rsidRPr="00EE394A" w:rsidRDefault="00294B7D" w:rsidP="00294B7D">
      <w:pPr>
        <w:jc w:val="center"/>
        <w:rPr>
          <w:rFonts w:ascii="Times New Roman" w:hAnsi="Times New Roman" w:cs="Times New Roman"/>
          <w:b/>
          <w:bCs/>
          <w:sz w:val="24"/>
          <w:szCs w:val="24"/>
        </w:rPr>
      </w:pPr>
      <w:r w:rsidRPr="00EE394A">
        <w:rPr>
          <w:rFonts w:ascii="Times New Roman" w:hAnsi="Times New Roman" w:cs="Times New Roman"/>
          <w:b/>
          <w:bCs/>
          <w:sz w:val="24"/>
          <w:szCs w:val="24"/>
        </w:rPr>
        <w:t>Classification Societies and Their Role in Implementing the BWM Convention</w:t>
      </w:r>
    </w:p>
    <w:p w14:paraId="54541A2B" w14:textId="77777777" w:rsidR="00C07E7C" w:rsidRPr="00C07E7C" w:rsidRDefault="00C07E7C" w:rsidP="00C07E7C">
      <w:pPr>
        <w:spacing w:after="0"/>
        <w:jc w:val="right"/>
        <w:rPr>
          <w:rFonts w:ascii="Times New Roman" w:hAnsi="Times New Roman" w:cs="Times New Roman"/>
          <w:i/>
          <w:iCs/>
          <w:sz w:val="24"/>
          <w:szCs w:val="24"/>
        </w:rPr>
      </w:pPr>
      <w:proofErr w:type="spellStart"/>
      <w:r w:rsidRPr="00C07E7C">
        <w:rPr>
          <w:rFonts w:ascii="Times New Roman" w:hAnsi="Times New Roman" w:cs="Times New Roman"/>
          <w:i/>
          <w:iCs/>
          <w:sz w:val="24"/>
          <w:szCs w:val="24"/>
        </w:rPr>
        <w:t>Zhongyu</w:t>
      </w:r>
      <w:proofErr w:type="spellEnd"/>
      <w:r w:rsidRPr="00C07E7C">
        <w:rPr>
          <w:rFonts w:ascii="Times New Roman" w:hAnsi="Times New Roman" w:cs="Times New Roman"/>
          <w:i/>
          <w:iCs/>
          <w:sz w:val="24"/>
          <w:szCs w:val="24"/>
        </w:rPr>
        <w:t xml:space="preserve"> LI (PhD Candidate, Kyoto University)</w:t>
      </w:r>
    </w:p>
    <w:p w14:paraId="397CD4FD" w14:textId="77777777" w:rsidR="00C07E7C" w:rsidRPr="00C07E7C" w:rsidRDefault="00C07E7C" w:rsidP="00C07E7C">
      <w:pPr>
        <w:spacing w:after="0"/>
        <w:jc w:val="right"/>
        <w:rPr>
          <w:rFonts w:ascii="Times New Roman" w:hAnsi="Times New Roman" w:cs="Times New Roman"/>
          <w:i/>
          <w:iCs/>
          <w:sz w:val="24"/>
          <w:szCs w:val="24"/>
        </w:rPr>
      </w:pPr>
      <w:r w:rsidRPr="00C07E7C">
        <w:rPr>
          <w:rFonts w:ascii="Times New Roman" w:hAnsi="Times New Roman" w:cs="Times New Roman"/>
          <w:i/>
          <w:iCs/>
          <w:sz w:val="24"/>
          <w:szCs w:val="24"/>
        </w:rPr>
        <w:t>Makoto SETA (Associate Professor, Yokohama City University)</w:t>
      </w:r>
    </w:p>
    <w:p w14:paraId="4637E501" w14:textId="0503C0EF" w:rsidR="00294B7D" w:rsidRDefault="00294B7D" w:rsidP="00EE394A">
      <w:pPr>
        <w:spacing w:before="240"/>
        <w:rPr>
          <w:rFonts w:ascii="Times New Roman" w:hAnsi="Times New Roman" w:cs="Times New Roman"/>
          <w:b/>
          <w:bCs/>
          <w:sz w:val="24"/>
          <w:szCs w:val="24"/>
        </w:rPr>
      </w:pPr>
    </w:p>
    <w:p w14:paraId="7C0D4E30" w14:textId="3BD8AE9F" w:rsidR="00C07E7C" w:rsidRPr="00EE394A" w:rsidRDefault="00C07E7C" w:rsidP="00EE394A">
      <w:pPr>
        <w:spacing w:before="240"/>
        <w:rPr>
          <w:rFonts w:ascii="Times New Roman" w:hAnsi="Times New Roman" w:cs="Times New Roman"/>
          <w:b/>
          <w:bCs/>
          <w:sz w:val="24"/>
          <w:szCs w:val="24"/>
        </w:rPr>
      </w:pPr>
      <w:r>
        <w:rPr>
          <w:rFonts w:ascii="Times New Roman" w:hAnsi="Times New Roman" w:cs="Times New Roman"/>
          <w:b/>
          <w:bCs/>
          <w:sz w:val="24"/>
          <w:szCs w:val="24"/>
        </w:rPr>
        <w:t>Abstract</w:t>
      </w:r>
    </w:p>
    <w:p w14:paraId="11905076" w14:textId="7F53B02F" w:rsidR="00EE394A" w:rsidRDefault="00EE394A" w:rsidP="00533D0D">
      <w:pPr>
        <w:jc w:val="both"/>
        <w:rPr>
          <w:rFonts w:ascii="Times New Roman" w:hAnsi="Times New Roman" w:cs="Times New Roman"/>
          <w:sz w:val="24"/>
          <w:szCs w:val="24"/>
        </w:rPr>
      </w:pPr>
      <w:r w:rsidRPr="00EE394A">
        <w:rPr>
          <w:rFonts w:ascii="Times New Roman" w:hAnsi="Times New Roman" w:cs="Times New Roman"/>
          <w:sz w:val="24"/>
          <w:szCs w:val="24"/>
        </w:rPr>
        <w:t xml:space="preserve">Under contemporary international law, private actors have gained increasing attention as a participant in international law-making and law implementation. This is particularly so in the context of maritime activities because most of them are essentially private in nature. Classification society, a non-governmental organization with the overall objective to promote maritime safety and pollution prevention, channels international obligations on shipping into the private sector. While based locally in some maritime States, (at least) for those that are members of the International Association of Classification Societies (IACS), they follow unified requirements. These bodies fill in the regulatory gaps by laying down their own technical requirements owing to their expertise and provide guidance to the subsequent development of international shipping regulations, especially when new challenges and technologies begin to surface. The governance system of the Ballast Water Management </w:t>
      </w:r>
      <w:r w:rsidRPr="00186BC6">
        <w:rPr>
          <w:rFonts w:ascii="Times New Roman" w:hAnsi="Times New Roman" w:cs="Times New Roman"/>
          <w:sz w:val="24"/>
          <w:szCs w:val="24"/>
        </w:rPr>
        <w:t>Convention</w:t>
      </w:r>
      <w:r w:rsidR="00186BC6" w:rsidRPr="00186BC6">
        <w:rPr>
          <w:rFonts w:ascii="Times New Roman" w:eastAsia="Yu Mincho" w:hAnsi="Times New Roman" w:cs="Times New Roman"/>
          <w:sz w:val="24"/>
          <w:szCs w:val="24"/>
          <w:lang w:eastAsia="ja-JP"/>
        </w:rPr>
        <w:t xml:space="preserve"> (BWM Convention)</w:t>
      </w:r>
      <w:r w:rsidRPr="00186BC6">
        <w:rPr>
          <w:rFonts w:ascii="Times New Roman" w:hAnsi="Times New Roman" w:cs="Times New Roman"/>
          <w:sz w:val="24"/>
          <w:szCs w:val="24"/>
        </w:rPr>
        <w:t xml:space="preserve"> i</w:t>
      </w:r>
      <w:r w:rsidRPr="00EE394A">
        <w:rPr>
          <w:rFonts w:ascii="Times New Roman" w:hAnsi="Times New Roman" w:cs="Times New Roman"/>
          <w:sz w:val="24"/>
          <w:szCs w:val="24"/>
        </w:rPr>
        <w:t>s a typical example demonstrating how such capabilities of classification societies are utilised in practice.</w:t>
      </w:r>
    </w:p>
    <w:p w14:paraId="49192E35" w14:textId="660E7447" w:rsidR="00EE394A" w:rsidRDefault="00EE394A" w:rsidP="00533D0D">
      <w:pPr>
        <w:jc w:val="both"/>
        <w:rPr>
          <w:rFonts w:ascii="Times New Roman" w:hAnsi="Times New Roman" w:cs="Times New Roman"/>
          <w:sz w:val="24"/>
          <w:szCs w:val="24"/>
        </w:rPr>
      </w:pPr>
    </w:p>
    <w:p w14:paraId="538FBD81" w14:textId="36684E80" w:rsidR="00EE394A" w:rsidRDefault="00EE394A" w:rsidP="00533D0D">
      <w:pPr>
        <w:jc w:val="both"/>
        <w:rPr>
          <w:rFonts w:ascii="Times New Roman" w:hAnsi="Times New Roman" w:cs="Times New Roman"/>
          <w:sz w:val="24"/>
          <w:szCs w:val="24"/>
        </w:rPr>
      </w:pPr>
      <w:r w:rsidRPr="00EE394A">
        <w:rPr>
          <w:rFonts w:ascii="Times New Roman" w:hAnsi="Times New Roman" w:cs="Times New Roman"/>
          <w:sz w:val="24"/>
          <w:szCs w:val="24"/>
        </w:rPr>
        <w:t>Due to the distinctive nature of ballast water discharge and premature technologies, it was not until 2017 that the BWM Convention entered into force. Like other international instruments on shipping, such a set of mandatory regulations allows classification societies to be entrusted with the power of survey and certification on behalf of the flag States – under the name of so-called “Recognized Organizations”.</w:t>
      </w:r>
      <w:r w:rsidRPr="00EE394A">
        <w:t xml:space="preserve"> </w:t>
      </w:r>
      <w:r w:rsidRPr="00EE394A">
        <w:rPr>
          <w:rFonts w:ascii="Times New Roman" w:hAnsi="Times New Roman" w:cs="Times New Roman"/>
          <w:sz w:val="24"/>
          <w:szCs w:val="24"/>
        </w:rPr>
        <w:t xml:space="preserve">However, it is argued that classification societies do not merely act as an enforcer of international obligations; they are also an “unofficial” international law-maker to the effect their amplifying and interpreting the treaty obligations have undoubtedly facilitated the implementation of the BWM Convention at the global level. First, the examination of the IACS, whose practice is representative of the world’s leading societies, demonstrates the advantageous position of classification societies in monitoring available technologies, which in turn provides a solid basis for private standard-setting, taking into account countervailing factors. In addition, by virtue of the consultative status at the IMO sessions, </w:t>
      </w:r>
      <w:r w:rsidR="00FD608D" w:rsidRPr="00FD608D">
        <w:rPr>
          <w:rFonts w:ascii="Times New Roman" w:hAnsi="Times New Roman" w:cs="Times New Roman"/>
          <w:sz w:val="24"/>
          <w:szCs w:val="24"/>
        </w:rPr>
        <w:t>the IACS reveals the discrepancies within the BWM Convention and provides clarification through the submission of its understanding and proposals</w:t>
      </w:r>
      <w:r w:rsidRPr="00EE394A">
        <w:rPr>
          <w:rFonts w:ascii="Times New Roman" w:hAnsi="Times New Roman" w:cs="Times New Roman"/>
          <w:sz w:val="24"/>
          <w:szCs w:val="24"/>
        </w:rPr>
        <w:t>.</w:t>
      </w:r>
    </w:p>
    <w:p w14:paraId="3D689942" w14:textId="70CC4B05" w:rsidR="00EE394A" w:rsidRDefault="00EE394A" w:rsidP="00533D0D">
      <w:pPr>
        <w:jc w:val="both"/>
        <w:rPr>
          <w:rFonts w:ascii="Times New Roman" w:hAnsi="Times New Roman" w:cs="Times New Roman"/>
          <w:sz w:val="24"/>
          <w:szCs w:val="24"/>
        </w:rPr>
      </w:pPr>
    </w:p>
    <w:p w14:paraId="6866FB0C" w14:textId="06738D8C" w:rsidR="00EE394A" w:rsidRDefault="00EE394A" w:rsidP="00533D0D">
      <w:pPr>
        <w:jc w:val="both"/>
        <w:rPr>
          <w:rFonts w:ascii="Times New Roman" w:hAnsi="Times New Roman" w:cs="Times New Roman"/>
          <w:sz w:val="24"/>
          <w:szCs w:val="24"/>
        </w:rPr>
      </w:pPr>
      <w:r w:rsidRPr="00EE394A">
        <w:rPr>
          <w:rFonts w:ascii="Times New Roman" w:hAnsi="Times New Roman" w:cs="Times New Roman"/>
          <w:sz w:val="24"/>
          <w:szCs w:val="24"/>
        </w:rPr>
        <w:t xml:space="preserve">Admittedly, this empowerment of classification societies with ocean governance is not devoid of criticisms. First, the practical law-making effect by a private body seems questionable: one may argue whether this is compatible with the principle </w:t>
      </w:r>
      <w:r w:rsidRPr="00EE394A">
        <w:rPr>
          <w:rFonts w:ascii="Times New Roman" w:hAnsi="Times New Roman" w:cs="Times New Roman"/>
          <w:i/>
          <w:iCs/>
          <w:sz w:val="24"/>
          <w:szCs w:val="24"/>
        </w:rPr>
        <w:t>pacta sunt servanda</w:t>
      </w:r>
      <w:r w:rsidRPr="00EE394A">
        <w:rPr>
          <w:rFonts w:ascii="Times New Roman" w:hAnsi="Times New Roman" w:cs="Times New Roman"/>
          <w:sz w:val="24"/>
          <w:szCs w:val="24"/>
        </w:rPr>
        <w:t xml:space="preserve"> under international law since manifest consents of States to industrial standards are lacking. Second, classification societies have long been criticized as the guardian of interests of the shipping industry, whereas little attention is paid to the protection of public interests, especially the marine environment. It is argued that classification societies are a legitimate actor in ocean governance, and their </w:t>
      </w:r>
      <w:r w:rsidRPr="00EE394A">
        <w:rPr>
          <w:rFonts w:ascii="Times New Roman" w:hAnsi="Times New Roman" w:cs="Times New Roman"/>
          <w:sz w:val="24"/>
          <w:szCs w:val="24"/>
        </w:rPr>
        <w:lastRenderedPageBreak/>
        <w:t xml:space="preserve">activities could be harmonized with </w:t>
      </w:r>
      <w:r w:rsidRPr="00EE394A">
        <w:rPr>
          <w:rFonts w:ascii="Times New Roman" w:hAnsi="Times New Roman" w:cs="Times New Roman"/>
          <w:i/>
          <w:iCs/>
          <w:sz w:val="24"/>
          <w:szCs w:val="24"/>
        </w:rPr>
        <w:t>pacta sunt servanda</w:t>
      </w:r>
      <w:r w:rsidRPr="00EE394A">
        <w:rPr>
          <w:rFonts w:ascii="Times New Roman" w:hAnsi="Times New Roman" w:cs="Times New Roman"/>
          <w:sz w:val="24"/>
          <w:szCs w:val="24"/>
        </w:rPr>
        <w:t>. Moreover, both IMO and IACS have provided safeguards against an over-reliance on commercial interests within the internal decision-making process of classification societies, while external oversights by other NGOs, particularly those environmental-protection-oriented could be expected.</w:t>
      </w:r>
    </w:p>
    <w:p w14:paraId="1A09EE62" w14:textId="4B7344C2" w:rsidR="00EE394A" w:rsidRDefault="00EE394A" w:rsidP="00294B7D">
      <w:pPr>
        <w:rPr>
          <w:rFonts w:ascii="Times New Roman" w:hAnsi="Times New Roman" w:cs="Times New Roman"/>
          <w:sz w:val="24"/>
          <w:szCs w:val="24"/>
        </w:rPr>
      </w:pPr>
    </w:p>
    <w:p w14:paraId="2021A14B" w14:textId="149714E4" w:rsidR="00294B7D" w:rsidRPr="00294B7D" w:rsidRDefault="00C07E7C" w:rsidP="00294B7D">
      <w:pPr>
        <w:rPr>
          <w:rFonts w:ascii="Times New Roman" w:hAnsi="Times New Roman" w:cs="Times New Roman"/>
          <w:b/>
          <w:bCs/>
          <w:sz w:val="24"/>
          <w:szCs w:val="24"/>
        </w:rPr>
      </w:pPr>
      <w:proofErr w:type="spellStart"/>
      <w:r>
        <w:rPr>
          <w:rFonts w:ascii="Times New Roman" w:hAnsi="Times New Roman" w:cs="Times New Roman"/>
          <w:b/>
          <w:bCs/>
          <w:sz w:val="24"/>
          <w:szCs w:val="24"/>
        </w:rPr>
        <w:t>Zhongyu</w:t>
      </w:r>
      <w:proofErr w:type="spellEnd"/>
      <w:r>
        <w:rPr>
          <w:rFonts w:ascii="Times New Roman" w:hAnsi="Times New Roman" w:cs="Times New Roman"/>
          <w:b/>
          <w:bCs/>
          <w:sz w:val="24"/>
          <w:szCs w:val="24"/>
        </w:rPr>
        <w:t xml:space="preserve"> Li</w:t>
      </w:r>
    </w:p>
    <w:p w14:paraId="3C55D959" w14:textId="7B24547A" w:rsidR="00294B7D" w:rsidRDefault="00294B7D" w:rsidP="00294B7D">
      <w:pPr>
        <w:spacing w:after="0" w:line="240" w:lineRule="auto"/>
        <w:jc w:val="both"/>
        <w:rPr>
          <w:rFonts w:ascii="Times New Roman" w:eastAsia="MS Mincho" w:hAnsi="Times New Roman" w:cs="Times New Roman"/>
          <w:kern w:val="2"/>
          <w:sz w:val="24"/>
          <w:szCs w:val="24"/>
          <w:lang w:val="en-US" w:eastAsia="ja-JP"/>
        </w:rPr>
      </w:pPr>
      <w:proofErr w:type="spellStart"/>
      <w:r>
        <w:rPr>
          <w:rFonts w:ascii="Times New Roman" w:eastAsia="MS Mincho" w:hAnsi="Times New Roman" w:cs="Times New Roman"/>
          <w:kern w:val="2"/>
          <w:sz w:val="24"/>
          <w:szCs w:val="24"/>
          <w:lang w:val="en-US" w:eastAsia="ja-JP"/>
        </w:rPr>
        <w:t>Zhongyu</w:t>
      </w:r>
      <w:proofErr w:type="spellEnd"/>
      <w:r>
        <w:rPr>
          <w:rFonts w:ascii="Times New Roman" w:eastAsia="MS Mincho" w:hAnsi="Times New Roman" w:cs="Times New Roman"/>
          <w:kern w:val="2"/>
          <w:sz w:val="24"/>
          <w:szCs w:val="24"/>
          <w:lang w:val="en-US" w:eastAsia="ja-JP"/>
        </w:rPr>
        <w:t xml:space="preserve"> Li is a PhD candidate at Kyoto University, Japan. He holds Postgraduate degrees (LL.M. and LL.M. by research) at University of Edinburgh. He is also a research fellow of Japan Society of the Promotion of Science (DC2). His current PhD thesis focuses on the role of non-state actors in developing international shipping conventions. </w:t>
      </w:r>
    </w:p>
    <w:p w14:paraId="3BC9D417" w14:textId="0309224F" w:rsidR="00294B7D" w:rsidRDefault="00294B7D" w:rsidP="00294B7D">
      <w:pPr>
        <w:spacing w:after="0" w:line="240" w:lineRule="auto"/>
        <w:jc w:val="both"/>
        <w:rPr>
          <w:rFonts w:ascii="Times New Roman" w:eastAsia="MS Mincho" w:hAnsi="Times New Roman" w:cs="Times New Roman"/>
          <w:kern w:val="2"/>
          <w:sz w:val="24"/>
          <w:szCs w:val="24"/>
          <w:lang w:val="en-US" w:eastAsia="ja-JP"/>
        </w:rPr>
      </w:pPr>
    </w:p>
    <w:p w14:paraId="1075DC03" w14:textId="3E0435C2" w:rsidR="00C07E7C" w:rsidRPr="00C07E7C" w:rsidRDefault="00C07E7C" w:rsidP="00294B7D">
      <w:pPr>
        <w:spacing w:after="0" w:line="240" w:lineRule="auto"/>
        <w:jc w:val="both"/>
        <w:rPr>
          <w:rFonts w:ascii="Times New Roman" w:eastAsia="MS Mincho" w:hAnsi="Times New Roman" w:cs="Times New Roman"/>
          <w:b/>
          <w:bCs/>
          <w:kern w:val="2"/>
          <w:sz w:val="24"/>
          <w:szCs w:val="24"/>
          <w:lang w:val="en-US" w:eastAsia="ja-JP"/>
        </w:rPr>
      </w:pPr>
      <w:r w:rsidRPr="00C07E7C">
        <w:rPr>
          <w:rFonts w:ascii="Times New Roman" w:eastAsia="MS Mincho" w:hAnsi="Times New Roman" w:cs="Times New Roman"/>
          <w:b/>
          <w:bCs/>
          <w:kern w:val="2"/>
          <w:sz w:val="24"/>
          <w:szCs w:val="24"/>
          <w:lang w:val="en-US" w:eastAsia="ja-JP"/>
        </w:rPr>
        <w:t>Makoto Seta</w:t>
      </w:r>
    </w:p>
    <w:p w14:paraId="428F1ABC" w14:textId="77777777" w:rsidR="00C07E7C" w:rsidRDefault="00C07E7C" w:rsidP="00294B7D">
      <w:pPr>
        <w:spacing w:after="0" w:line="240" w:lineRule="auto"/>
        <w:jc w:val="both"/>
        <w:rPr>
          <w:rFonts w:ascii="Times New Roman" w:eastAsia="MS Mincho" w:hAnsi="Times New Roman" w:cs="Times New Roman"/>
          <w:kern w:val="2"/>
          <w:sz w:val="24"/>
          <w:szCs w:val="24"/>
          <w:lang w:val="en-US" w:eastAsia="ja-JP"/>
        </w:rPr>
      </w:pPr>
    </w:p>
    <w:p w14:paraId="7B06D70A" w14:textId="1A4ABCB3" w:rsidR="00294B7D" w:rsidRPr="00D27A31" w:rsidRDefault="00294B7D" w:rsidP="00294B7D">
      <w:pPr>
        <w:spacing w:after="0" w:line="240" w:lineRule="auto"/>
        <w:jc w:val="both"/>
        <w:rPr>
          <w:rFonts w:ascii="Times New Roman" w:eastAsia="MS Mincho" w:hAnsi="Times New Roman" w:cs="Times New Roman"/>
          <w:kern w:val="2"/>
          <w:sz w:val="24"/>
          <w:szCs w:val="24"/>
          <w:lang w:val="en-US" w:eastAsia="ja-JP"/>
        </w:rPr>
      </w:pPr>
      <w:r w:rsidRPr="00294B7D">
        <w:rPr>
          <w:rFonts w:ascii="Times New Roman" w:eastAsia="MS Mincho" w:hAnsi="Times New Roman" w:cs="Times New Roman"/>
          <w:kern w:val="2"/>
          <w:sz w:val="24"/>
          <w:szCs w:val="24"/>
          <w:lang w:val="en-US" w:eastAsia="ja-JP"/>
        </w:rPr>
        <w:t xml:space="preserve">Dr. Makoto SETA is an Associate Professor of International Law at Yokohama City University, Japan. He holds Ph.D. in Law, </w:t>
      </w:r>
      <w:proofErr w:type="spellStart"/>
      <w:r w:rsidRPr="00294B7D">
        <w:rPr>
          <w:rFonts w:ascii="Times New Roman" w:eastAsia="MS Mincho" w:hAnsi="Times New Roman" w:cs="Times New Roman"/>
          <w:kern w:val="2"/>
          <w:sz w:val="24"/>
          <w:szCs w:val="24"/>
          <w:lang w:val="en-US" w:eastAsia="ja-JP"/>
        </w:rPr>
        <w:t>Waseda</w:t>
      </w:r>
      <w:proofErr w:type="spellEnd"/>
      <w:r w:rsidRPr="00294B7D">
        <w:rPr>
          <w:rFonts w:ascii="Times New Roman" w:eastAsia="MS Mincho" w:hAnsi="Times New Roman" w:cs="Times New Roman"/>
          <w:kern w:val="2"/>
          <w:sz w:val="24"/>
          <w:szCs w:val="24"/>
          <w:lang w:val="en-US" w:eastAsia="ja-JP"/>
        </w:rPr>
        <w:t xml:space="preserve"> University (Japan); LL.M. London School of Economics and Political Science (UK); LL.B. </w:t>
      </w:r>
      <w:proofErr w:type="spellStart"/>
      <w:r w:rsidRPr="00294B7D">
        <w:rPr>
          <w:rFonts w:ascii="Times New Roman" w:eastAsia="MS Mincho" w:hAnsi="Times New Roman" w:cs="Times New Roman"/>
          <w:kern w:val="2"/>
          <w:sz w:val="24"/>
          <w:szCs w:val="24"/>
          <w:lang w:val="en-US" w:eastAsia="ja-JP"/>
        </w:rPr>
        <w:t>Waseda</w:t>
      </w:r>
      <w:proofErr w:type="spellEnd"/>
      <w:r w:rsidRPr="00294B7D">
        <w:rPr>
          <w:rFonts w:ascii="Times New Roman" w:eastAsia="MS Mincho" w:hAnsi="Times New Roman" w:cs="Times New Roman"/>
          <w:kern w:val="2"/>
          <w:sz w:val="24"/>
          <w:szCs w:val="24"/>
          <w:lang w:val="en-US" w:eastAsia="ja-JP"/>
        </w:rPr>
        <w:t xml:space="preserve"> University (Japan). He worked as a Research Associate at the Institute of Comparative Law at </w:t>
      </w:r>
      <w:proofErr w:type="spellStart"/>
      <w:r w:rsidRPr="00294B7D">
        <w:rPr>
          <w:rFonts w:ascii="Times New Roman" w:eastAsia="MS Mincho" w:hAnsi="Times New Roman" w:cs="Times New Roman"/>
          <w:kern w:val="2"/>
          <w:sz w:val="24"/>
          <w:szCs w:val="24"/>
          <w:lang w:val="en-US" w:eastAsia="ja-JP"/>
        </w:rPr>
        <w:t>Waseda</w:t>
      </w:r>
      <w:proofErr w:type="spellEnd"/>
      <w:r w:rsidRPr="00294B7D">
        <w:rPr>
          <w:rFonts w:ascii="Times New Roman" w:eastAsia="MS Mincho" w:hAnsi="Times New Roman" w:cs="Times New Roman"/>
          <w:kern w:val="2"/>
          <w:sz w:val="24"/>
          <w:szCs w:val="24"/>
          <w:lang w:val="en-US" w:eastAsia="ja-JP"/>
        </w:rPr>
        <w:t xml:space="preserve"> University from April 2013 to March 2015. In 2013, his article “Regulation for Private Maritime Security Companies and Its Challenges” received an award by the Yamagata Maritime Institute. His primary interest is the law of the sea, especially ocean governance, universal jurisdiction over maritime crimes, and private standards under the law of the sea. His publications include the monograph International Law for Ocean Governance (</w:t>
      </w:r>
      <w:proofErr w:type="spellStart"/>
      <w:r w:rsidRPr="00294B7D">
        <w:rPr>
          <w:rFonts w:ascii="Times New Roman" w:eastAsia="MS Mincho" w:hAnsi="Times New Roman" w:cs="Times New Roman"/>
          <w:kern w:val="2"/>
          <w:sz w:val="24"/>
          <w:szCs w:val="24"/>
          <w:lang w:val="en-US" w:eastAsia="ja-JP"/>
        </w:rPr>
        <w:t>Sanseido</w:t>
      </w:r>
      <w:proofErr w:type="spellEnd"/>
      <w:r w:rsidRPr="00294B7D">
        <w:rPr>
          <w:rFonts w:ascii="Times New Roman" w:eastAsia="MS Mincho" w:hAnsi="Times New Roman" w:cs="Times New Roman"/>
          <w:kern w:val="2"/>
          <w:sz w:val="24"/>
          <w:szCs w:val="24"/>
          <w:lang w:val="en-US" w:eastAsia="ja-JP"/>
        </w:rPr>
        <w:t>, 2015). Since 2016, he serves as a member of the International Organization for Standardization (ISO) Technical Committee 8, Subcommittee 13, Working Group 4 (ISO/TC8/SC13/WG4), which makes international standards for marine environment impact assessment.</w:t>
      </w:r>
    </w:p>
    <w:p w14:paraId="4E771B0D" w14:textId="77777777" w:rsidR="00294B7D" w:rsidRPr="00EE394A" w:rsidRDefault="00294B7D" w:rsidP="00294B7D">
      <w:pPr>
        <w:rPr>
          <w:rFonts w:ascii="Times New Roman" w:hAnsi="Times New Roman" w:cs="Times New Roman"/>
          <w:sz w:val="24"/>
          <w:szCs w:val="24"/>
        </w:rPr>
      </w:pPr>
    </w:p>
    <w:sectPr w:rsidR="00294B7D" w:rsidRPr="00EE39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4CAF" w14:textId="77777777" w:rsidR="002C5B9D" w:rsidRDefault="002C5B9D" w:rsidP="00EE394A">
      <w:pPr>
        <w:spacing w:after="0" w:line="240" w:lineRule="auto"/>
      </w:pPr>
      <w:r>
        <w:separator/>
      </w:r>
    </w:p>
  </w:endnote>
  <w:endnote w:type="continuationSeparator" w:id="0">
    <w:p w14:paraId="7E0B2D24" w14:textId="77777777" w:rsidR="002C5B9D" w:rsidRDefault="002C5B9D" w:rsidP="00EE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1C903" w14:textId="77777777" w:rsidR="002C5B9D" w:rsidRDefault="002C5B9D" w:rsidP="00EE394A">
      <w:pPr>
        <w:spacing w:after="0" w:line="240" w:lineRule="auto"/>
      </w:pPr>
      <w:r>
        <w:separator/>
      </w:r>
    </w:p>
  </w:footnote>
  <w:footnote w:type="continuationSeparator" w:id="0">
    <w:p w14:paraId="72DD4EB1" w14:textId="77777777" w:rsidR="002C5B9D" w:rsidRDefault="002C5B9D" w:rsidP="00EE3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KyNDQzMrS0MDAwNjJV0lEKTi0uzszPAykwrAUASfC8ciwAAAA="/>
  </w:docVars>
  <w:rsids>
    <w:rsidRoot w:val="00C952EA"/>
    <w:rsid w:val="001237F5"/>
    <w:rsid w:val="00124E23"/>
    <w:rsid w:val="001724B0"/>
    <w:rsid w:val="00186BC6"/>
    <w:rsid w:val="00294B7D"/>
    <w:rsid w:val="002961CF"/>
    <w:rsid w:val="002C5B9D"/>
    <w:rsid w:val="00504FBF"/>
    <w:rsid w:val="00533D0D"/>
    <w:rsid w:val="008F7286"/>
    <w:rsid w:val="00AD4B90"/>
    <w:rsid w:val="00C07E7C"/>
    <w:rsid w:val="00C952EA"/>
    <w:rsid w:val="00EE394A"/>
    <w:rsid w:val="00FD60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AEC695"/>
  <w15:chartTrackingRefBased/>
  <w15:docId w15:val="{465A32B5-2E11-44BC-9ED4-44598F23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94A"/>
    <w:rPr>
      <w:rFonts w:ascii="Segoe UI" w:hAnsi="Segoe UI" w:cs="Segoe UI"/>
      <w:sz w:val="18"/>
      <w:szCs w:val="18"/>
    </w:rPr>
  </w:style>
  <w:style w:type="paragraph" w:styleId="FootnoteText">
    <w:name w:val="footnote text"/>
    <w:basedOn w:val="Normal"/>
    <w:link w:val="FootnoteTextChar"/>
    <w:uiPriority w:val="99"/>
    <w:semiHidden/>
    <w:unhideWhenUsed/>
    <w:rsid w:val="00EE3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94A"/>
    <w:rPr>
      <w:sz w:val="20"/>
      <w:szCs w:val="20"/>
    </w:rPr>
  </w:style>
  <w:style w:type="character" w:styleId="FootnoteReference">
    <w:name w:val="footnote reference"/>
    <w:basedOn w:val="DefaultParagraphFont"/>
    <w:uiPriority w:val="99"/>
    <w:semiHidden/>
    <w:unhideWhenUsed/>
    <w:rsid w:val="00EE394A"/>
    <w:rPr>
      <w:vertAlign w:val="superscript"/>
    </w:rPr>
  </w:style>
  <w:style w:type="paragraph" w:styleId="Header">
    <w:name w:val="header"/>
    <w:basedOn w:val="Normal"/>
    <w:link w:val="HeaderChar"/>
    <w:uiPriority w:val="99"/>
    <w:unhideWhenUsed/>
    <w:rsid w:val="00533D0D"/>
    <w:pPr>
      <w:tabs>
        <w:tab w:val="center" w:pos="4252"/>
        <w:tab w:val="right" w:pos="8504"/>
      </w:tabs>
      <w:snapToGrid w:val="0"/>
    </w:pPr>
  </w:style>
  <w:style w:type="character" w:customStyle="1" w:styleId="HeaderChar">
    <w:name w:val="Header Char"/>
    <w:basedOn w:val="DefaultParagraphFont"/>
    <w:link w:val="Header"/>
    <w:uiPriority w:val="99"/>
    <w:rsid w:val="00533D0D"/>
  </w:style>
  <w:style w:type="paragraph" w:styleId="Footer">
    <w:name w:val="footer"/>
    <w:basedOn w:val="Normal"/>
    <w:link w:val="FooterChar"/>
    <w:uiPriority w:val="99"/>
    <w:unhideWhenUsed/>
    <w:rsid w:val="00533D0D"/>
    <w:pPr>
      <w:tabs>
        <w:tab w:val="center" w:pos="4252"/>
        <w:tab w:val="right" w:pos="8504"/>
      </w:tabs>
      <w:snapToGrid w:val="0"/>
    </w:pPr>
  </w:style>
  <w:style w:type="character" w:customStyle="1" w:styleId="FooterChar">
    <w:name w:val="Footer Char"/>
    <w:basedOn w:val="DefaultParagraphFont"/>
    <w:link w:val="Footer"/>
    <w:uiPriority w:val="99"/>
    <w:rsid w:val="0053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dc:creator>
  <cp:keywords/>
  <dc:description/>
  <cp:lastModifiedBy>Girgiç, I. (Işık)</cp:lastModifiedBy>
  <cp:revision>11</cp:revision>
  <cp:lastPrinted>2020-08-19T03:52:00Z</cp:lastPrinted>
  <dcterms:created xsi:type="dcterms:W3CDTF">2020-08-19T03:47:00Z</dcterms:created>
  <dcterms:modified xsi:type="dcterms:W3CDTF">2020-08-31T10:18:00Z</dcterms:modified>
</cp:coreProperties>
</file>